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 to 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001-39420</w:t>
      </w:r>
    </w:p>
    <w:p>
      <w:pPr>
        <w:pStyle w:val="TextBody"/>
        <w:bidi w:val="0"/>
        <w:spacing w:before="0" w:after="0"/>
        <w:jc w:val="center"/>
        <w:rPr/>
      </w:pPr>
      <w:r>
        <w:rPr/>
      </w:r>
    </w:p>
    <w:p>
      <w:pPr>
        <w:pStyle w:val="TextBody"/>
        <w:bidi w:val="0"/>
        <w:spacing w:lineRule="auto" w:line="288" w:before="0" w:after="0"/>
        <w:jc w:val="center"/>
        <w:rPr/>
      </w:pPr>
      <w:r>
        <w:rPr>
          <w:color w:val="000000"/>
        </w:rPr>
        <w:t> </w:t>
      </w:r>
      <w:r>
        <w:rPr>
          <w:rFonts w:ascii="Times New Roman;serif" w:hAnsi="Times New Roman;serif"/>
          <w:b/>
          <w:color w:val="000000"/>
          <w:sz w:val="48"/>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before="0" w:after="0"/>
        <w:jc w:val="center"/>
        <w:rPr/>
      </w:pPr>
      <w:r>
        <w:rPr/>
      </w:r>
    </w:p>
    <w:p>
      <w:pPr>
        <w:pStyle w:val="TextBody"/>
        <w:bidi w:val="0"/>
        <w:spacing w:before="0" w:after="0"/>
        <w:jc w:val="center"/>
        <w:rPr/>
      </w:pPr>
      <w:r>
        <w:rPr/>
        <w:drawing>
          <wp:inline distT="0" distB="0" distL="0" distR="0">
            <wp:extent cx="40005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00050" cy="504825"/>
                    </a:xfrm>
                    <a:prstGeom prst="rect">
                      <a:avLst/>
                    </a:prstGeom>
                  </pic:spPr>
                </pic:pic>
              </a:graphicData>
            </a:graphic>
          </wp:inline>
        </w:drawing>
      </w:r>
      <w:bookmarkStart w:id="0" w:name="i-1"/>
      <w:bookmarkEnd w:id="0"/>
    </w:p>
    <w:p>
      <w:pPr>
        <w:pStyle w:val="TextBody"/>
        <w:bidi w:val="0"/>
        <w:spacing w:before="0" w:after="0"/>
        <w:jc w:val="left"/>
        <w:rPr/>
      </w:pPr>
      <w:r>
        <w:rPr/>
      </w:r>
    </w:p>
    <w:tbl>
      <w:tblPr>
        <w:tblW w:w="8695" w:type="dxa"/>
        <w:jc w:val="left"/>
        <w:tblInd w:w="0" w:type="dxa"/>
        <w:tblLayout w:type="fixed"/>
        <w:tblCellMar>
          <w:top w:w="28" w:type="dxa"/>
          <w:left w:w="28" w:type="dxa"/>
          <w:bottom w:w="28" w:type="dxa"/>
          <w:right w:w="28" w:type="dxa"/>
        </w:tblCellMar>
      </w:tblPr>
      <w:tblGrid>
        <w:gridCol w:w="1892"/>
        <w:gridCol w:w="1663"/>
        <w:gridCol w:w="1679"/>
        <w:gridCol w:w="109"/>
        <w:gridCol w:w="109"/>
        <w:gridCol w:w="109"/>
        <w:gridCol w:w="915"/>
        <w:gridCol w:w="915"/>
        <w:gridCol w:w="1304"/>
      </w:tblGrid>
      <w:tr>
        <w:trPr/>
        <w:tc>
          <w:tcPr>
            <w:tcW w:w="1892" w:type="dxa"/>
            <w:tcBorders/>
            <w:vAlign w:val="center"/>
          </w:tcPr>
          <w:p>
            <w:pPr>
              <w:pStyle w:val="TableContents"/>
              <w:bidi w:val="0"/>
              <w:spacing w:before="0" w:after="283"/>
              <w:jc w:val="left"/>
              <w:rPr>
                <w:sz w:val="4"/>
                <w:szCs w:val="4"/>
              </w:rPr>
            </w:pPr>
            <w:r>
              <w:rPr>
                <w:sz w:val="4"/>
                <w:szCs w:val="4"/>
              </w:rPr>
            </w:r>
          </w:p>
        </w:tc>
        <w:tc>
          <w:tcPr>
            <w:tcW w:w="1663"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81-3369925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19122 US Highway 281N, Suite 127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Antonio, Texas 78258</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1-800-961-4454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638" w:type="dxa"/>
        <w:jc w:val="center"/>
        <w:tblInd w:w="0" w:type="dxa"/>
        <w:tblLayout w:type="fixed"/>
        <w:tblCellMar>
          <w:top w:w="28" w:type="dxa"/>
          <w:left w:w="28" w:type="dxa"/>
          <w:bottom w:w="28" w:type="dxa"/>
          <w:right w:w="28" w:type="dxa"/>
        </w:tblCellMar>
      </w:tblPr>
      <w:tblGrid>
        <w:gridCol w:w="1252"/>
        <w:gridCol w:w="1100"/>
        <w:gridCol w:w="1113"/>
        <w:gridCol w:w="109"/>
        <w:gridCol w:w="109"/>
        <w:gridCol w:w="109"/>
        <w:gridCol w:w="564"/>
        <w:gridCol w:w="564"/>
        <w:gridCol w:w="566"/>
        <w:gridCol w:w="109"/>
        <w:gridCol w:w="109"/>
        <w:gridCol w:w="109"/>
        <w:gridCol w:w="1118"/>
        <w:gridCol w:w="1118"/>
        <w:gridCol w:w="1589"/>
      </w:tblGrid>
      <w:tr>
        <w:trPr/>
        <w:tc>
          <w:tcPr>
            <w:tcW w:w="1252"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4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RXT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540"/>
        <w:jc w:val="left"/>
        <w:rPr/>
      </w:pPr>
      <w:r>
        <w:rPr/>
      </w:r>
    </w:p>
    <w:tbl>
      <w:tblPr>
        <w:tblW w:w="5255"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On May 1, 2026</w:t>
      </w:r>
      <w:r>
        <w:rPr>
          <w:rFonts w:ascii="Times New Roman;serif" w:hAnsi="Times New Roman;serif"/>
          <w:b w:val="false"/>
          <w:color w:val="000000"/>
          <w:sz w:val="20"/>
          <w:shd w:fill="FFFFFF" w:val="clear"/>
        </w:rPr>
        <w:t>, 249,222,499 sh</w:t>
      </w:r>
      <w:r>
        <w:rPr>
          <w:rFonts w:ascii="Times New Roman;serif" w:hAnsi="Times New Roman;serif"/>
          <w:b w:val="false"/>
          <w:color w:val="000000"/>
          <w:sz w:val="20"/>
        </w:rPr>
        <w:t xml:space="preserve">ares of the registrant's common stock, par value $0.01 per share, were outstanding.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pPr>
      <w:r>
        <w:rPr>
          <w:color w:val="000000"/>
        </w:rPr>
        <w:t> </w:t>
      </w:r>
      <w:r>
        <w:rPr>
          <w:rFonts w:ascii="Times New Roman;serif" w:hAnsi="Times New Roman;serif"/>
          <w:b/>
          <w:color w:val="000000"/>
          <w:sz w:val="20"/>
        </w:rPr>
        <w:t>TABLE OF CONTENTS</w:t>
      </w:r>
    </w:p>
    <w:p>
      <w:pPr>
        <w:pStyle w:val="TextBody"/>
        <w:bidi w:val="0"/>
        <w:spacing w:lineRule="auto" w:line="288" w:before="0" w:after="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418"/>
        <w:gridCol w:w="367"/>
        <w:gridCol w:w="367"/>
        <w:gridCol w:w="2969"/>
        <w:gridCol w:w="2863"/>
        <w:gridCol w:w="2847"/>
        <w:gridCol w:w="109"/>
        <w:gridCol w:w="109"/>
        <w:gridCol w:w="156"/>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969" w:type="dxa"/>
            <w:tcBorders/>
            <w:vAlign w:val="center"/>
          </w:tcPr>
          <w:p>
            <w:pPr>
              <w:pStyle w:val="TableContents"/>
              <w:bidi w:val="0"/>
              <w:spacing w:before="0" w:after="283"/>
              <w:jc w:val="left"/>
              <w:rPr>
                <w:sz w:val="4"/>
                <w:szCs w:val="4"/>
              </w:rPr>
            </w:pPr>
            <w:r>
              <w:rPr>
                <w:sz w:val="4"/>
                <w:szCs w:val="4"/>
              </w:rPr>
            </w:r>
          </w:p>
        </w:tc>
        <w:tc>
          <w:tcPr>
            <w:tcW w:w="2863"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Statements: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9">
              <w:r>
                <w:rPr>
                  <w:rStyle w:val="InternetLink"/>
                  <w:rFonts w:ascii="Times New Roman;serif" w:hAnsi="Times New Roman;serif"/>
                  <w:b w:val="false"/>
                  <w:color w:val="0000FF"/>
                  <w:sz w:val="20"/>
                  <w:u w:val="single"/>
                </w:rPr>
                <w:t>Unaudited Condensed Consolidated Balance Sheets as of December 31, 2025 and March 31, 2026</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9">
              <w:r>
                <w:rPr>
                  <w:rStyle w:val="InternetLink"/>
                  <w:rFonts w:ascii="Times New Roman;serif" w:hAnsi="Times New Roman;serif"/>
                  <w:b w:val="false"/>
                  <w:color w:val="0000FF"/>
                  <w:sz w:val="20"/>
                  <w:u w:val="single"/>
                </w:rPr>
                <w:t>3</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22">
              <w:r>
                <w:rPr>
                  <w:rStyle w:val="InternetLink"/>
                  <w:rFonts w:ascii="Times New Roman;serif" w:hAnsi="Times New Roman;serif"/>
                  <w:b w:val="false"/>
                  <w:color w:val="0000FF"/>
                  <w:sz w:val="20"/>
                  <w:u w:val="single"/>
                </w:rPr>
                <w:t>Unaudited Condensed Consolidated Statements of Comprehensive Loss for the Three Months Ended March 31, 2025 and March 31, 2026</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22">
              <w:r>
                <w:rPr>
                  <w:rStyle w:val="InternetLink"/>
                  <w:rFonts w:ascii="Times New Roman;serif" w:hAnsi="Times New Roman;serif"/>
                  <w:b w:val="false"/>
                  <w:color w:val="0000FF"/>
                  <w:sz w:val="20"/>
                  <w:u w:val="single"/>
                </w:rPr>
                <w:t>4</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25">
              <w:r>
                <w:rPr>
                  <w:rStyle w:val="InternetLink"/>
                  <w:rFonts w:ascii="Times New Roman;serif" w:hAnsi="Times New Roman;serif"/>
                  <w:b w:val="false"/>
                  <w:color w:val="0000FF"/>
                  <w:sz w:val="20"/>
                  <w:u w:val="single"/>
                </w:rPr>
                <w:t>Unaudited Condensed Consolidated Statements of Cash Flows for the Three Months Ended March 31, 2025 and March 31, 2026</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25">
              <w:r>
                <w:rPr>
                  <w:rStyle w:val="InternetLink"/>
                  <w:rFonts w:ascii="Times New Roman;serif" w:hAnsi="Times New Roman;serif"/>
                  <w:b w:val="false"/>
                  <w:color w:val="0000FF"/>
                  <w:sz w:val="20"/>
                  <w:u w:val="single"/>
                </w:rPr>
                <w:t>5</w:t>
              </w:r>
            </w:hyperlink>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28">
              <w:r>
                <w:rPr>
                  <w:rStyle w:val="InternetLink"/>
                  <w:rFonts w:ascii="Times New Roman;serif" w:hAnsi="Times New Roman;serif"/>
                  <w:b w:val="false"/>
                  <w:color w:val="0000FF"/>
                  <w:sz w:val="20"/>
                  <w:u w:val="single"/>
                </w:rPr>
                <w:t>Unaudited Condensed Consolidated Statements of Stockholders' Deficit for the Three Months Ended March 31, 2025 and March 31, 2026</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28">
              <w:r>
                <w:rPr>
                  <w:rStyle w:val="InternetLink"/>
                  <w:rFonts w:ascii="Times New Roman;serif" w:hAnsi="Times New Roman;serif"/>
                  <w:b w:val="false"/>
                  <w:color w:val="0000FF"/>
                  <w:sz w:val="20"/>
                  <w:u w:val="single"/>
                </w:rPr>
                <w:t>7</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31">
              <w:r>
                <w:rPr>
                  <w:rStyle w:val="InternetLink"/>
                  <w:rFonts w:ascii="Times New Roman;serif" w:hAnsi="Times New Roman;serif"/>
                  <w:b w:val="false"/>
                  <w:color w:val="0000FF"/>
                  <w:sz w:val="20"/>
                  <w:u w:val="single"/>
                </w:rPr>
                <w:t>Notes to the Unaudited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31">
              <w:r>
                <w:rPr>
                  <w:rStyle w:val="InternetLink"/>
                  <w:rFonts w:ascii="Times New Roman;serif" w:hAnsi="Times New Roman;serif"/>
                  <w:b w:val="false"/>
                  <w:color w:val="0000FF"/>
                  <w:sz w:val="20"/>
                  <w:u w:val="single"/>
                </w:rPr>
                <w:t>8</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76">
              <w:r>
                <w:rPr>
                  <w:rStyle w:val="InternetLink"/>
                  <w:rFonts w:ascii="Times New Roman;serif" w:hAnsi="Times New Roman;serif"/>
                  <w:b w:val="false"/>
                  <w:color w:val="0000FF"/>
                  <w:sz w:val="20"/>
                  <w:u w:val="single"/>
                </w:rPr>
                <w:t>26</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03">
              <w:r>
                <w:rPr>
                  <w:rStyle w:val="InternetLink"/>
                  <w:rFonts w:ascii="Times New Roman;serif" w:hAnsi="Times New Roman;serif"/>
                  <w:b w:val="false"/>
                  <w:color w:val="0000FF"/>
                  <w:sz w:val="20"/>
                  <w:u w:val="single"/>
                </w:rPr>
                <w:t>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03">
              <w:r>
                <w:rPr>
                  <w:rStyle w:val="InternetLink"/>
                  <w:rFonts w:ascii="Times New Roman;serif" w:hAnsi="Times New Roman;serif"/>
                  <w:b w:val="false"/>
                  <w:color w:val="0000FF"/>
                  <w:sz w:val="20"/>
                  <w:u w:val="single"/>
                </w:rPr>
                <w:t>43</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06">
              <w:r>
                <w:rPr>
                  <w:rStyle w:val="InternetLink"/>
                  <w:rFonts w:ascii="Times New Roman;serif" w:hAnsi="Times New Roman;serif"/>
                  <w:b w:val="false"/>
                  <w:color w:val="0000FF"/>
                  <w:sz w:val="20"/>
                  <w:u w:val="single"/>
                </w:rPr>
                <w:t>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06">
              <w:r>
                <w:rPr>
                  <w:rStyle w:val="InternetLink"/>
                  <w:rFonts w:ascii="Times New Roman;serif" w:hAnsi="Times New Roman;serif"/>
                  <w:b w:val="false"/>
                  <w:color w:val="0000FF"/>
                  <w:sz w:val="20"/>
                  <w:u w:val="single"/>
                </w:rPr>
                <w:t>44</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 - Other Information</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12">
              <w:r>
                <w:rPr>
                  <w:rStyle w:val="InternetLink"/>
                  <w:rFonts w:ascii="Times New Roman;serif" w:hAnsi="Times New Roman;serif"/>
                  <w:b w:val="false"/>
                  <w:color w:val="0000FF"/>
                  <w:sz w:val="20"/>
                  <w:u w:val="single"/>
                </w:rPr>
                <w:t>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12">
              <w:r>
                <w:rPr>
                  <w:rStyle w:val="InternetLink"/>
                  <w:rFonts w:ascii="Times New Roman;serif" w:hAnsi="Times New Roman;serif"/>
                  <w:b w:val="false"/>
                  <w:color w:val="0000FF"/>
                  <w:sz w:val="20"/>
                  <w:u w:val="single"/>
                </w:rPr>
                <w:t>45</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15">
              <w:r>
                <w:rPr>
                  <w:rStyle w:val="InternetLink"/>
                  <w:rFonts w:ascii="Times New Roman;serif" w:hAnsi="Times New Roman;serif"/>
                  <w:b w:val="false"/>
                  <w:color w:val="0000FF"/>
                  <w:sz w:val="20"/>
                  <w:u w:val="single"/>
                </w:rPr>
                <w:t>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15">
              <w:r>
                <w:rPr>
                  <w:rStyle w:val="InternetLink"/>
                  <w:rFonts w:ascii="Times New Roman;serif" w:hAnsi="Times New Roman;serif"/>
                  <w:b w:val="false"/>
                  <w:color w:val="0000FF"/>
                  <w:sz w:val="20"/>
                  <w:u w:val="single"/>
                </w:rPr>
                <w:t>45</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18">
              <w:r>
                <w:rPr>
                  <w:rStyle w:val="InternetLink"/>
                  <w:rFonts w:ascii="Times New Roman;serif" w:hAnsi="Times New Roman;serif"/>
                  <w:b w:val="false"/>
                  <w:color w:val="0000FF"/>
                  <w:sz w:val="20"/>
                  <w:u w:val="single"/>
                </w:rPr>
                <w:t>Unregistered Sales of Equity Securities and Use of Proceeds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18">
              <w:r>
                <w:rPr>
                  <w:rStyle w:val="InternetLink"/>
                  <w:rFonts w:ascii="Times New Roman;serif" w:hAnsi="Times New Roman;serif"/>
                  <w:b w:val="false"/>
                  <w:color w:val="0000FF"/>
                  <w:sz w:val="20"/>
                  <w:u w:val="single"/>
                </w:rPr>
                <w:t>45</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21">
              <w:r>
                <w:rPr>
                  <w:rStyle w:val="InternetLink"/>
                  <w:rFonts w:ascii="Times New Roman;serif" w:hAnsi="Times New Roman;serif"/>
                  <w:b w:val="false"/>
                  <w:color w:val="0000FF"/>
                  <w:sz w:val="20"/>
                  <w:u w:val="single"/>
                </w:rPr>
                <w:t>Defaults Upon Senior Securities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21">
              <w:r>
                <w:rPr>
                  <w:rStyle w:val="InternetLink"/>
                  <w:rFonts w:ascii="Times New Roman;serif" w:hAnsi="Times New Roman;serif"/>
                  <w:b w:val="false"/>
                  <w:color w:val="0000FF"/>
                  <w:sz w:val="20"/>
                  <w:u w:val="single"/>
                </w:rPr>
                <w:t>45</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Item 4. </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24">
              <w:r>
                <w:rPr>
                  <w:rStyle w:val="InternetLink"/>
                  <w:rFonts w:ascii="Times New Roman;serif" w:hAnsi="Times New Roman;serif"/>
                  <w:b w:val="false"/>
                  <w:color w:val="0000FF"/>
                  <w:sz w:val="20"/>
                  <w:u w:val="single"/>
                </w:rPr>
                <w:t>Mine Safety Disclosures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24">
              <w:r>
                <w:rPr>
                  <w:rStyle w:val="InternetLink"/>
                  <w:rFonts w:ascii="Times New Roman;serif" w:hAnsi="Times New Roman;serif"/>
                  <w:b w:val="false"/>
                  <w:color w:val="0000FF"/>
                  <w:sz w:val="20"/>
                  <w:u w:val="single"/>
                </w:rPr>
                <w:t>45</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27">
              <w:r>
                <w:rPr>
                  <w:rStyle w:val="InternetLink"/>
                  <w:rFonts w:ascii="Times New Roman;serif" w:hAnsi="Times New Roman;serif"/>
                  <w:b w:val="false"/>
                  <w:color w:val="0000FF"/>
                  <w:sz w:val="20"/>
                  <w:u w:val="single"/>
                </w:rPr>
                <w:t>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27">
              <w:r>
                <w:rPr>
                  <w:rStyle w:val="InternetLink"/>
                  <w:rFonts w:ascii="Times New Roman;serif" w:hAnsi="Times New Roman;serif"/>
                  <w:b w:val="false"/>
                  <w:color w:val="0000FF"/>
                  <w:sz w:val="20"/>
                  <w:u w:val="single"/>
                </w:rPr>
                <w:t>46</w:t>
              </w:r>
            </w:hyperlink>
          </w:p>
        </w:tc>
      </w:tr>
      <w:tr>
        <w:trPr/>
        <w:tc>
          <w:tcPr>
            <w:tcW w:w="11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6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33">
              <w:r>
                <w:rPr>
                  <w:rStyle w:val="InternetLink"/>
                  <w:rFonts w:ascii="Times New Roman;serif" w:hAnsi="Times New Roman;serif"/>
                  <w:b w:val="false"/>
                  <w:color w:val="0000FF"/>
                  <w:sz w:val="20"/>
                  <w:u w:val="single"/>
                </w:rPr>
                <w:t>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33">
              <w:r>
                <w:rPr>
                  <w:rStyle w:val="InternetLink"/>
                  <w:rFonts w:ascii="Times New Roman;serif" w:hAnsi="Times New Roman;serif"/>
                  <w:b w:val="false"/>
                  <w:color w:val="0000FF"/>
                  <w:sz w:val="20"/>
                  <w:u w:val="single"/>
                </w:rPr>
                <w:t>47</w:t>
              </w:r>
            </w:hyperlink>
          </w:p>
        </w:tc>
      </w:tr>
      <w:tr>
        <w:trPr/>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601f28b0d35e4c9687d01a42d0037247_136">
              <w:r>
                <w:rPr>
                  <w:rStyle w:val="InternetLink"/>
                  <w:rFonts w:ascii="Times New Roman;serif" w:hAnsi="Times New Roman;serif"/>
                  <w:b w:val="false"/>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01f28b0d35e4c9687d01a42d0037247_136">
              <w:r>
                <w:rPr>
                  <w:rStyle w:val="InternetLink"/>
                  <w:rFonts w:ascii="Times New Roman;serif" w:hAnsi="Times New Roman;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This Quarterly Report on Form 10-Q for the quarterly period ended March 31, 2026 (this "Quarterly Report") contains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report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 </w:t>
      </w:r>
    </w:p>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i/>
          <w:color w:val="000000"/>
          <w:sz w:val="20"/>
        </w:rPr>
      </w:pPr>
      <w:r>
        <w:rPr>
          <w:rFonts w:ascii="Times New Roman;serif" w:hAnsi="Times New Roman;serif"/>
          <w:b w:val="false"/>
          <w:i/>
          <w:color w:val="000000"/>
          <w:sz w:val="20"/>
        </w:rPr>
        <w:t xml:space="preserve">Forward-looking information involves risks, uncertainties, and other factors that could cause actual results to differ materially from those expressed or implied in, or reasonably inferred from, such statements, and the risks and uncertainties disclosed or referenced under the heading "Risk Factors" in our Annual Report on Form 10-K for the year ended December 31, 2025. Therefore, caution should be taken not to place undue reliance on any such forward-looking statements. Much of the information in this report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Quarterly Report. We assume no obligation (and specifically disclaim any such obligation) to publicly update or revise any forward-looking statements, whether as a result of new information, future events, or otherwise, except as required by law.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TRADEMARKS, TRADE NAMES AND SERVICE MARKS</w:t>
      </w:r>
    </w:p>
    <w:p>
      <w:pPr>
        <w:pStyle w:val="TextBody"/>
        <w:bidi w:val="0"/>
        <w:spacing w:before="0" w:after="0"/>
        <w:jc w:val="left"/>
        <w:rPr/>
      </w:pPr>
      <w:r>
        <w:rPr/>
      </w:r>
    </w:p>
    <w:p>
      <w:pPr>
        <w:pStyle w:val="TextBody"/>
        <w:bidi w:val="0"/>
        <w:spacing w:lineRule="auto" w:line="276" w:before="0" w:after="0"/>
        <w:ind w:left="0" w:right="0" w:firstLine="540"/>
        <w:jc w:val="left"/>
        <w:rPr/>
      </w:pPr>
      <w:r>
        <w:rPr>
          <w:rFonts w:ascii="Times New Roman;serif" w:hAnsi="Times New Roman;serif"/>
          <w:b w:val="false"/>
          <w:i/>
          <w:color w:val="000000"/>
          <w:sz w:val="20"/>
        </w:rPr>
        <w:t>"Rackspace," "Rackspace Technology," "Fanatical," "Fanatical Experience," "Rackspace Fabric," "Rackspace Data Freedom," "Rackspace Services for VMware Cloud</w:t>
      </w:r>
      <w:r>
        <w:rPr>
          <w:rFonts w:ascii="Times New Roman;serif" w:hAnsi="Times New Roman;serif"/>
          <w:b w:val="false"/>
          <w:i/>
          <w:color w:val="000000"/>
          <w:sz w:val="13"/>
        </w:rPr>
        <w:t>TM</w:t>
      </w:r>
      <w:r>
        <w:rPr>
          <w:rFonts w:ascii="Times New Roman;serif" w:hAnsi="Times New Roman;serif"/>
          <w:b w:val="false"/>
          <w:i/>
          <w:color w:val="000000"/>
          <w:sz w:val="20"/>
        </w:rPr>
        <w:t>" and "My Rackspace" are registered or unregistered trademarks of Rackspace US, Inc. in the United States and/or other countries. OpenStack</w:t>
      </w:r>
      <w:r>
        <w:rPr>
          <w:rFonts w:ascii="Times New Roman;serif" w:hAnsi="Times New Roman;serif"/>
          <w:b w:val="false"/>
          <w:i/>
          <w:color w:val="000000"/>
          <w:sz w:val="13"/>
        </w:rPr>
        <w:t>®</w:t>
      </w:r>
      <w:r>
        <w:rPr>
          <w:color w:val="000000"/>
        </w:rPr>
        <w:t xml:space="preserve"> </w:t>
      </w:r>
      <w:r>
        <w:rPr>
          <w:rFonts w:ascii="Times New Roman;serif" w:hAnsi="Times New Roman;serif"/>
          <w:b w:val="false"/>
          <w:i/>
          <w:color w:val="000000"/>
          <w:sz w:val="20"/>
        </w:rPr>
        <w:t>is a registered trademark of OpenStack, LLC and OpenStack Foundation in the United States. Solely for convenience, trademarks, trade names and service marks referred to in this Quarterly Report may appear without the ® or ™ symbols, but such references are not intended to indicate, in any way, that we will not assert, to the fullest extent under applicable law, our rights or the rights of the applicable licensor to these trademarks, trade names and service marks. Other trademarks, trade names and service marks appearing in this Quarterly Report are the property of their respective holders. We do not intend our use or display of other companies' trade names, trademarks or service marks to imply a relationship with, or endorsement or sponsorship of us by, any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417" w:before="0" w:after="0"/>
        <w:jc w:val="center"/>
        <w:rPr>
          <w:rFonts w:ascii="Times New Roman;serif" w:hAnsi="Times New Roman;serif"/>
          <w:b/>
          <w:color w:val="000000"/>
          <w:sz w:val="20"/>
        </w:rPr>
      </w:pPr>
      <w:r>
        <w:rPr>
          <w:rFonts w:ascii="Times New Roman;serif" w:hAnsi="Times New Roman;serif"/>
          <w:b/>
          <w:color w:val="000000"/>
          <w:sz w:val="20"/>
        </w:rPr>
        <w:t>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08"/>
        <w:gridCol w:w="2358"/>
        <w:gridCol w:w="2379"/>
        <w:gridCol w:w="214"/>
        <w:gridCol w:w="757"/>
        <w:gridCol w:w="119"/>
        <w:gridCol w:w="109"/>
        <w:gridCol w:w="109"/>
        <w:gridCol w:w="109"/>
        <w:gridCol w:w="196"/>
        <w:gridCol w:w="691"/>
        <w:gridCol w:w="156"/>
      </w:tblGrid>
      <w:tr>
        <w:trPr/>
        <w:tc>
          <w:tcPr>
            <w:tcW w:w="3008"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r>
      <w:tr>
        <w:trPr/>
        <w:tc>
          <w:tcPr>
            <w:tcW w:w="77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and accrued customer credits of $12.2 and $10.7,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517.8 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net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right-of-use assets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expenses</w:t>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and benefits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interest </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766.7 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785.6 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liabilities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obligations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4,019.3 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(Note 8)</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deficit:</w:t>
            </w:r>
          </w:p>
        </w:tc>
        <w:tc>
          <w:tcPr>
            <w:tcW w:w="10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$0.01 par value per share: 5.0 shares authorized; no shares issued or outstanding</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per share: 1,495.0 shares authorized; 248.4 and 252.2 shares issued; 245.3 and 249.1 shares outstanding, respectively</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 (loss)</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3.1 shares held</w:t>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stockholders' deficit</w:t>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stockholders' deficit</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2,799.8 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2,765.4 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color w:val="000000"/>
        </w:rPr>
      </w:pPr>
      <w:r>
        <w:rPr>
          <w:color w:val="000000"/>
        </w:rPr>
        <w:t xml:space="preserve">  </w:t>
      </w:r>
    </w:p>
    <w:tbl>
      <w:tblPr>
        <w:tblW w:w="9253" w:type="dxa"/>
        <w:jc w:val="left"/>
        <w:tblInd w:w="0" w:type="dxa"/>
        <w:tblLayout w:type="fixed"/>
        <w:tblCellMar>
          <w:top w:w="28" w:type="dxa"/>
          <w:left w:w="28" w:type="dxa"/>
          <w:bottom w:w="28" w:type="dxa"/>
          <w:right w:w="28" w:type="dxa"/>
        </w:tblCellMar>
      </w:tblPr>
      <w:tblGrid>
        <w:gridCol w:w="2243"/>
        <w:gridCol w:w="1967"/>
        <w:gridCol w:w="1985"/>
        <w:gridCol w:w="246"/>
        <w:gridCol w:w="700"/>
        <w:gridCol w:w="137"/>
        <w:gridCol w:w="137"/>
        <w:gridCol w:w="137"/>
        <w:gridCol w:w="137"/>
        <w:gridCol w:w="246"/>
        <w:gridCol w:w="700"/>
        <w:gridCol w:w="137"/>
        <w:gridCol w:w="109"/>
        <w:gridCol w:w="109"/>
        <w:gridCol w:w="109"/>
        <w:gridCol w:w="154"/>
      </w:tblGrid>
      <w:tr>
        <w:trPr/>
        <w:tc>
          <w:tcPr>
            <w:tcW w:w="2243" w:type="dxa"/>
            <w:tcBorders/>
            <w:vAlign w:val="center"/>
          </w:tcPr>
          <w:p>
            <w:pPr>
              <w:pStyle w:val="TableContents"/>
              <w:bidi w:val="0"/>
              <w:spacing w:before="0" w:after="283"/>
              <w:jc w:val="left"/>
              <w:rPr>
                <w:sz w:val="4"/>
                <w:szCs w:val="4"/>
              </w:rPr>
            </w:pPr>
            <w:r>
              <w:rPr>
                <w:sz w:val="4"/>
                <w:szCs w:val="4"/>
              </w:rPr>
            </w:r>
          </w:p>
        </w:tc>
        <w:tc>
          <w:tcPr>
            <w:tcW w:w="1967"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investments,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 contracts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 reclassified from accumulated other comprehensive income (loss) to earnings</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loss</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earnings (loss) per share:</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outstanding:</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8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8859" w:type="dxa"/>
        <w:jc w:val="center"/>
        <w:tblInd w:w="0" w:type="dxa"/>
        <w:tblLayout w:type="fixed"/>
        <w:tblCellMar>
          <w:top w:w="28" w:type="dxa"/>
          <w:left w:w="28" w:type="dxa"/>
          <w:bottom w:w="28" w:type="dxa"/>
          <w:right w:w="28" w:type="dxa"/>
        </w:tblCellMar>
      </w:tblPr>
      <w:tblGrid>
        <w:gridCol w:w="2262"/>
        <w:gridCol w:w="1985"/>
        <w:gridCol w:w="1993"/>
        <w:gridCol w:w="256"/>
        <w:gridCol w:w="728"/>
        <w:gridCol w:w="142"/>
        <w:gridCol w:w="142"/>
        <w:gridCol w:w="142"/>
        <w:gridCol w:w="142"/>
        <w:gridCol w:w="256"/>
        <w:gridCol w:w="610"/>
        <w:gridCol w:w="201"/>
      </w:tblGrid>
      <w:tr>
        <w:trPr/>
        <w:tc>
          <w:tcPr>
            <w:tcW w:w="2262"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9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Reduction in carrying amount of operating right-of-use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investments, net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bad debts and accrued customer credits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and debt discount and premium</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liabilities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 and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equipment and software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investing activities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borrowings under long-term debt arrangements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financing component of interest rate swap</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finance lease liabilities</w:t>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of financing obligations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cash equivalents, and restricted cash</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cash equivalents, and restricted cash</w:t>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beginning of period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at end of period</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- 5 -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tbl>
      <w:tblPr>
        <w:tblW w:w="7434" w:type="dxa"/>
        <w:jc w:val="center"/>
        <w:tblInd w:w="0" w:type="dxa"/>
        <w:tblLayout w:type="fixed"/>
        <w:tblCellMar>
          <w:top w:w="28" w:type="dxa"/>
          <w:left w:w="28" w:type="dxa"/>
          <w:bottom w:w="28" w:type="dxa"/>
          <w:right w:w="28" w:type="dxa"/>
        </w:tblCellMar>
      </w:tblPr>
      <w:tblGrid>
        <w:gridCol w:w="2002"/>
        <w:gridCol w:w="1754"/>
        <w:gridCol w:w="1764"/>
        <w:gridCol w:w="196"/>
        <w:gridCol w:w="466"/>
        <w:gridCol w:w="109"/>
        <w:gridCol w:w="109"/>
        <w:gridCol w:w="109"/>
        <w:gridCol w:w="109"/>
        <w:gridCol w:w="196"/>
        <w:gridCol w:w="466"/>
        <w:gridCol w:w="154"/>
      </w:tblGrid>
      <w:tr>
        <w:trPr/>
        <w:tc>
          <w:tcPr>
            <w:tcW w:w="2002"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Cash Flow Information</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interest, net of amount capitalized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for income taxes, net of refunds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Investing and Financing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finance leases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property, equipment and software by financing obligations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property, equipment and software accrued in liabilities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Non-cash purchases of property, equipment and software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5520"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to the total of such amounts shown on the Condensed Consolidated Statements of Cash Flows.</w:t>
      </w:r>
    </w:p>
    <w:p>
      <w:pPr>
        <w:pStyle w:val="TextBody"/>
        <w:bidi w:val="0"/>
        <w:spacing w:before="0" w:after="0"/>
        <w:ind w:left="0" w:right="0" w:firstLine="540"/>
        <w:jc w:val="left"/>
        <w:rPr/>
      </w:pPr>
      <w:r>
        <w:rPr/>
      </w:r>
    </w:p>
    <w:tbl>
      <w:tblPr>
        <w:tblW w:w="8768" w:type="dxa"/>
        <w:jc w:val="center"/>
        <w:tblInd w:w="0" w:type="dxa"/>
        <w:tblLayout w:type="fixed"/>
        <w:tblCellMar>
          <w:top w:w="28" w:type="dxa"/>
          <w:left w:w="28" w:type="dxa"/>
          <w:bottom w:w="28" w:type="dxa"/>
          <w:right w:w="28" w:type="dxa"/>
        </w:tblCellMar>
      </w:tblPr>
      <w:tblGrid>
        <w:gridCol w:w="2230"/>
        <w:gridCol w:w="1956"/>
        <w:gridCol w:w="1963"/>
        <w:gridCol w:w="256"/>
        <w:gridCol w:w="728"/>
        <w:gridCol w:w="142"/>
        <w:gridCol w:w="142"/>
        <w:gridCol w:w="142"/>
        <w:gridCol w:w="142"/>
        <w:gridCol w:w="256"/>
        <w:gridCol w:w="610"/>
        <w:gridCol w:w="201"/>
      </w:tblGrid>
      <w:tr>
        <w:trPr/>
        <w:tc>
          <w:tcPr>
            <w:tcW w:w="2230"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non-current assets</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shown in the statement of cash flows</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131.1 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- 6 -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DEFICIT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1039"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32"/>
        <w:gridCol w:w="789"/>
        <w:gridCol w:w="185"/>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2"/>
        <w:gridCol w:w="802"/>
        <w:gridCol w:w="177"/>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(3,682.4)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(1,004.2)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240.4 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(3,753.9)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(1,073.1)</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1054" w:type="dxa"/>
        <w:jc w:val="center"/>
        <w:tblInd w:w="0" w:type="dxa"/>
        <w:tblLayout w:type="fixed"/>
        <w:tblCellMar>
          <w:top w:w="28" w:type="dxa"/>
          <w:left w:w="28" w:type="dxa"/>
          <w:bottom w:w="28" w:type="dxa"/>
          <w:right w:w="28" w:type="dxa"/>
        </w:tblCellMar>
      </w:tblPr>
      <w:tblGrid>
        <w:gridCol w:w="659"/>
        <w:gridCol w:w="311"/>
        <w:gridCol w:w="216"/>
        <w:gridCol w:w="278"/>
        <w:gridCol w:w="278"/>
        <w:gridCol w:w="211"/>
        <w:gridCol w:w="109"/>
        <w:gridCol w:w="109"/>
        <w:gridCol w:w="109"/>
        <w:gridCol w:w="216"/>
        <w:gridCol w:w="414"/>
        <w:gridCol w:w="121"/>
        <w:gridCol w:w="109"/>
        <w:gridCol w:w="109"/>
        <w:gridCol w:w="109"/>
        <w:gridCol w:w="196"/>
        <w:gridCol w:w="691"/>
        <w:gridCol w:w="109"/>
        <w:gridCol w:w="109"/>
        <w:gridCol w:w="109"/>
        <w:gridCol w:w="109"/>
        <w:gridCol w:w="367"/>
        <w:gridCol w:w="733"/>
        <w:gridCol w:w="206"/>
        <w:gridCol w:w="109"/>
        <w:gridCol w:w="109"/>
        <w:gridCol w:w="109"/>
        <w:gridCol w:w="218"/>
        <w:gridCol w:w="786"/>
        <w:gridCol w:w="122"/>
        <w:gridCol w:w="109"/>
        <w:gridCol w:w="109"/>
        <w:gridCol w:w="109"/>
        <w:gridCol w:w="210"/>
        <w:gridCol w:w="210"/>
        <w:gridCol w:w="211"/>
        <w:gridCol w:w="109"/>
        <w:gridCol w:w="109"/>
        <w:gridCol w:w="109"/>
        <w:gridCol w:w="196"/>
        <w:gridCol w:w="481"/>
        <w:gridCol w:w="109"/>
        <w:gridCol w:w="109"/>
        <w:gridCol w:w="109"/>
        <w:gridCol w:w="109"/>
        <w:gridCol w:w="225"/>
        <w:gridCol w:w="812"/>
        <w:gridCol w:w="179"/>
      </w:tblGrid>
      <w:tr>
        <w:trPr/>
        <w:tc>
          <w:tcPr>
            <w:tcW w:w="65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Treasury Stock, at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(3,908.2)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(1,219.5)</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Exercise of stock options and release of stock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 for equity classified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252.2 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(3,899.9)</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(1,216.7)</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29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- 7 -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RACKSPACE TECHNOLOGY, INC.</w:t>
      </w:r>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 xml:space="preserve">NOTES TO THE UNAUDITED CONDENSED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 Company Overview, Basis of Presentation, and Summary of Significant Accounting Policies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Nature of Operations and Basis of Presentation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Inc. ("Rackspace Technology") is a Delaware corporation controlled by investment funds affiliated with Apollo Global Management, Inc. and its subsidiaries ("Apollo"). Rackspace Technology was formed on July 21, 2016 but had no assets, liabilities or operating results until November 3, 2016 when Rackspace Hosting, Inc. (now named Rackspace Technology Global, Inc., or "Rackspace Technology Global"), a global provider of modern information technology-as-a-service, was acquired by Inception Parent, Inc., a wholly-owned entity indirectly owned by Rackspace Technology (the "Rackspace Acquisition").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commenced operations in 1998 as a limited partnership and was incorporated in Delaware in March 2000. Rackspace Technology serves as the holding company for Rackspace Technology Global and does not engage in any material business or operations other than those related to its indirect ownership of the capital stock of Rackspace Technology Global and its subsidiaries or business or operations otherwise customarily undertaken by a holding company.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ease of reference, the terms "we," "our company," "the company," "us," or "our" as used in this report refer to Rackspace Technology and its consolidated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Rackspace Technology, Inc. and our wholly-owned subsidiaries. Intercompany transactions and balances have been eliminated in consolidation.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Unaudited Interim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unaudited condensed consolidated financial statements as of March 31, 2026, and for the three months ended March 31, 2025 and 2026, have been prepared in accordance with accounting principles generally accepted in the United States of America ("GAAP") for interim financial information. Accordingly, certain financial information and disclosures required for financial statements prepared under GAAP have been omitted in accordance with the Securities and Exchange Commission ("SEC") disclosure rules and regulations that permit reduced disclosure for interim periods. These unaudited interim condensed consolidated financial statements should be read in conjunction with the audited consolidated financial statements and the related notes thereto included in our Annual Report on Form 10-K for the year ended December 31, 2025 as filed with the SEC on March 6, 2026 ("Annual Report"). The unaudited interim condensed consolidated financial statements have been prepared on the same basis as the audited consolidated financial statements included in our Annual Report and, in the opinion of management, reflect all adjustments, which include normal recurring adjustments, necessary for a fair statement of our financial position as of March 31, 2026, our results of operations, cash flows, and stockholders' deficit for the three months ended March 31, 2025 and 2026.</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results of operations for the three months ended March 31, 2026 are not necessarily indicative of the results of operations to be expected for the year ending December 31, 2026, or for any other interim period, or for any other future year.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preparation of condensed consolidated financial statements in conformity with GAAP requires us to make estimates and assumptions that affect the reported amounts of assets and liabilities, revenue and expenses, and related disclosures of contingent assets and liabilities in the condensed consolidated financial statements and accompanying notes. On an ongoing basis, we evaluate our estimates, including those related to the allowance for credit losses, useful lives of property, equipment and software, software capitalization, incremental borrowing rates for lease liability measurement, fair values of intangible assets and reporting units, useful lives of intangible assets, share-based compensation, contingencies, and income taxes, among others. We base our estimates on historical experience and on various other assumptions that we believe to be reasonable, the results of which form the basis for making judgments about the carrying values of assets and liabilities. Actual results could differ from our estimates.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- 8 -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 Overview</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a highly leveraged company. As of March 31, 2026, we had $2,327.6 million aggregate principal amount outstanding under our debt instruments, which are comprised of the first lien first out senior secured term loan facility (the “FLFO Term Loan Facility”), the first lien second out senior secured term loan facility (the “FLSO Term Loan Facility”), the senior secured first lien term loan facility (the "Term Loan Facility"), 3.50% FLSO Senior Secured Notes due 2028 (the “3.50% FLSO Senior Secured Notes”), 5.375% Senior Notes due 2028 (the "5.375% Senior Notes"), and 3.50% Senior Secured Notes due 2028 (the "3.50% Senior Secured Notes"). We primarily finance our operations and capital expenditures with internally-generated cash from operations and hardware leases, and if necessary, borrowings under the senior secured first lien first out revolving credit facility (the "Revolving Credit Facility"). As of March 31, 2026, the Revolving Credit Facility provided for up to $375.0 million of borrowings, $150.0 million of which was drawn and outstanding as of March 31, 2026. Our primary uses of cash are working capital requirements, debt service requirements and capital expenditures. Based on our current level of operations and available cash and cash equivalents of $93.6 million as of March 31, 2026,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our ability to deliver on our strategic objectives and prevailing economic conditions and other factors, many of which are beyond our control.</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 and Estimates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Annual Report includes an additional discussion of the significant accounting policies and estimates used in the preparation of our consolidated financial statements. There were no material changes to our significant accounting policies and estimates during the three months ended March 31,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Recent Accounting Pronouncements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Measurement of Credit Losses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 July 2025, the </w:t>
      </w:r>
      <w:r>
        <w:rPr>
          <w:rFonts w:ascii="Times New Roman;serif" w:hAnsi="Times New Roman;serif"/>
          <w:b w:val="false"/>
          <w:color w:val="000000"/>
          <w:sz w:val="20"/>
        </w:rPr>
        <w:t>Financial Accounting Standards Board</w:t>
      </w:r>
      <w:r>
        <w:rPr>
          <w:color w:val="000000"/>
          <w:shd w:fill="FFFFFF" w:val="clear"/>
        </w:rPr>
        <w:t xml:space="preserve"> </w:t>
      </w:r>
      <w:r>
        <w:rPr>
          <w:rFonts w:ascii="Times New Roman;serif" w:hAnsi="Times New Roman;serif"/>
          <w:b w:val="false"/>
          <w:color w:val="000000"/>
          <w:sz w:val="20"/>
          <w:shd w:fill="FFFFFF" w:val="clear"/>
        </w:rPr>
        <w:t xml:space="preserve">issued Accounting Standards Update </w:t>
      </w:r>
      <w:r>
        <w:rPr>
          <w:rFonts w:ascii="Times New Roman;serif" w:hAnsi="Times New Roman;serif"/>
          <w:b w:val="false"/>
          <w:color w:val="000000"/>
          <w:sz w:val="20"/>
        </w:rPr>
        <w:t>(“ASU”)</w:t>
      </w:r>
      <w:r>
        <w:rPr>
          <w:color w:val="000000"/>
          <w:shd w:fill="FFFFFF" w:val="clear"/>
        </w:rPr>
        <w:t xml:space="preserve"> </w:t>
      </w:r>
      <w:r>
        <w:rPr>
          <w:rFonts w:ascii="Times New Roman;serif" w:hAnsi="Times New Roman;serif"/>
          <w:b w:val="false"/>
          <w:color w:val="000000"/>
          <w:sz w:val="20"/>
          <w:shd w:fill="FFFFFF" w:val="clear"/>
        </w:rPr>
        <w:t xml:space="preserve">No. 2025-05, </w:t>
      </w:r>
      <w:r>
        <w:rPr>
          <w:rFonts w:ascii="Times New Roman;serif" w:hAnsi="Times New Roman;serif"/>
          <w:b w:val="false"/>
          <w:i/>
          <w:color w:val="000000"/>
          <w:sz w:val="20"/>
          <w:shd w:fill="FFFFFF" w:val="clear"/>
        </w:rPr>
        <w:t>Financial Instruments - Credit Losses (Topic 326) - Measurement of Credit Losses for Accounts Receivable and Contract Assets</w:t>
      </w:r>
      <w:r>
        <w:rPr>
          <w:rFonts w:ascii="Times New Roman;serif" w:hAnsi="Times New Roman;serif"/>
          <w:b w:val="false"/>
          <w:color w:val="000000"/>
          <w:sz w:val="20"/>
          <w:shd w:fill="FFFFFF" w:val="clear"/>
        </w:rPr>
        <w:t xml:space="preserve">. ASU 2025-05 allows entities to apply a practical expedient when estimating expected credit losses for current accounts receivable and current contract assets arising from transactions under </w:t>
      </w:r>
      <w:r>
        <w:rPr>
          <w:rFonts w:ascii="Times New Roman;serif" w:hAnsi="Times New Roman;serif"/>
          <w:b w:val="false"/>
          <w:color w:val="000000"/>
          <w:sz w:val="20"/>
        </w:rPr>
        <w:t xml:space="preserve">Accounting Standards Codification (“ASC”) No.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adopted this guidance on January 1, 2026 on a prospective basis. The adoption did not have a material impact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- 9 -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Customer Contracts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balances related to customer contracts:</w:t>
      </w:r>
    </w:p>
    <w:tbl>
      <w:tblPr>
        <w:tblW w:w="10205" w:type="dxa"/>
        <w:jc w:val="center"/>
        <w:tblInd w:w="0" w:type="dxa"/>
        <w:tblLayout w:type="fixed"/>
        <w:tblCellMar>
          <w:top w:w="28" w:type="dxa"/>
          <w:left w:w="28" w:type="dxa"/>
          <w:bottom w:w="28" w:type="dxa"/>
          <w:right w:w="28" w:type="dxa"/>
        </w:tblCellMar>
      </w:tblPr>
      <w:tblGrid>
        <w:gridCol w:w="1055"/>
        <w:gridCol w:w="920"/>
        <w:gridCol w:w="922"/>
        <w:gridCol w:w="1270"/>
        <w:gridCol w:w="1270"/>
        <w:gridCol w:w="1273"/>
        <w:gridCol w:w="109"/>
        <w:gridCol w:w="109"/>
        <w:gridCol w:w="109"/>
        <w:gridCol w:w="345"/>
        <w:gridCol w:w="981"/>
        <w:gridCol w:w="193"/>
        <w:gridCol w:w="109"/>
        <w:gridCol w:w="109"/>
        <w:gridCol w:w="109"/>
        <w:gridCol w:w="285"/>
        <w:gridCol w:w="809"/>
        <w:gridCol w:w="228"/>
      </w:tblGrid>
      <w:tr>
        <w:trPr/>
        <w:tc>
          <w:tcPr>
            <w:tcW w:w="1055"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8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 Account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8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Accounts receivable, net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265.8 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contract assets</w:t>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contract assets</w:t>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deferred revenue</w:t>
            </w:r>
          </w:p>
        </w:tc>
        <w:tc>
          <w:tcPr>
            <w:tcW w:w="38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94.6 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130.4 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portion of deferred revenue</w:t>
            </w:r>
          </w:p>
        </w:tc>
        <w:tc>
          <w:tcPr>
            <w:tcW w:w="38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    Allowance for credit losses and accrued customer credits was $12.2 million and $10.7 million as of December 31, 2025 and March 31, 2026, respectively. </w:t>
      </w:r>
    </w:p>
    <w:p>
      <w:pPr>
        <w:pStyle w:val="TextBody"/>
        <w:bidi w:val="0"/>
        <w:spacing w:before="0" w:after="0"/>
        <w:ind w:left="0" w:right="0" w:hanging="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Amounts recognized in revenue for the three months ended March 31, 2025 and 2026, which were included in deferred revenue as of the beginning of each period totaled $49.6 million and $60.1 million, respectively. </w:t>
      </w:r>
    </w:p>
    <w:p>
      <w:pPr>
        <w:pStyle w:val="TextBody"/>
        <w:bidi w:val="0"/>
        <w:spacing w:before="0" w:after="0"/>
        <w:ind w:left="0" w:right="0" w:firstLine="540"/>
        <w:jc w:val="left"/>
        <w:rPr/>
      </w:pPr>
      <w:r>
        <w:rPr/>
      </w:r>
    </w:p>
    <w:p>
      <w:pPr>
        <w:pStyle w:val="TextBody"/>
        <w:bidi w:val="0"/>
        <w:spacing w:lineRule="auto" w:line="276" w:before="0" w:after="0"/>
        <w:ind w:left="0" w:right="0" w:hanging="540"/>
        <w:jc w:val="left"/>
        <w:rPr>
          <w:rFonts w:ascii="Times New Roman;serif" w:hAnsi="Times New Roman;serif"/>
          <w:b/>
          <w:i/>
          <w:color w:val="000000"/>
          <w:sz w:val="20"/>
        </w:rPr>
      </w:pPr>
      <w:r>
        <w:rPr>
          <w:rFonts w:ascii="Times New Roman;serif" w:hAnsi="Times New Roman;serif"/>
          <w:b/>
          <w:i/>
          <w:color w:val="000000"/>
          <w:sz w:val="20"/>
        </w:rPr>
        <w:t xml:space="preserve">Cost Incurred to Obtain and Fulfill a Contract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March 31, 2026, the balances of capitalized costs to obtain a contract were $30.8 million and $30.2 million, respectively, and the balances of capitalized costs to fulfill a contract were $16.3 million and $16.7 million, respectively. These capitalized costs are included in "Other non-current assets" on the Condensed Consolidated Balance Sheets.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Amortization of capitalized sales commissions and implementation costs was as follows:</w:t>
      </w:r>
    </w:p>
    <w:tbl>
      <w:tblPr>
        <w:tblW w:w="6612" w:type="dxa"/>
        <w:jc w:val="left"/>
        <w:tblInd w:w="0" w:type="dxa"/>
        <w:tblLayout w:type="fixed"/>
        <w:tblCellMar>
          <w:top w:w="28" w:type="dxa"/>
          <w:left w:w="28" w:type="dxa"/>
          <w:bottom w:w="28" w:type="dxa"/>
          <w:right w:w="28" w:type="dxa"/>
        </w:tblCellMar>
      </w:tblPr>
      <w:tblGrid>
        <w:gridCol w:w="1286"/>
        <w:gridCol w:w="1129"/>
        <w:gridCol w:w="1140"/>
        <w:gridCol w:w="299"/>
        <w:gridCol w:w="574"/>
        <w:gridCol w:w="166"/>
        <w:gridCol w:w="166"/>
        <w:gridCol w:w="166"/>
        <w:gridCol w:w="166"/>
        <w:gridCol w:w="299"/>
        <w:gridCol w:w="574"/>
        <w:gridCol w:w="166"/>
        <w:gridCol w:w="109"/>
        <w:gridCol w:w="109"/>
        <w:gridCol w:w="109"/>
        <w:gridCol w:w="154"/>
      </w:tblGrid>
      <w:tr>
        <w:trPr/>
        <w:tc>
          <w:tcPr>
            <w:tcW w:w="1286"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sales commissions</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capitalized implementation costs</w:t>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Remaining Performance Obligations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aggregate amount of transaction price allocated to remaining performance obligations was $575.5 million, of which approximately 39% is expected to be recognized as revenue during the remainder of 2026 and the remainder thereafter. These remaining performance obligations primarily relate to our fixed-term arrangements. The aggregate amount of transaction price excludes variable consideration related to our usage-based arrangements for which we recognize revenue based on the right to invoice for the services performed.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E.U. Data Act became effective in September 2025 and establishes new requirements related to cloud service switching rights and limits on early termination fees. These provisions will require modifications to our existing E.U. contract terms. We are currently assessing which of our contracts are subject to these requirements. As of March 31, 2026, our existing contractual terms were in place and provide the basis for the remaining performance obligations disclosed above. We expect to revise our contractual terms to comply with the E.U. Data Act in 2026 which could reduce the amount of remaining performance obligations disclosed in future periods.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- 10 -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3. Sale of Receivables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29, 2023, Rackspace US, Inc. and Rackspace Receivables II, LLC, a bankruptcy-remote special purpose vehicle (“SPV”), each an indirect subsidiary of the company, entered into an accounts receivable purchase agreement with PNC Bank, National Association (“PNC”) and other parties thereto. On February 12, 2024, the accounts receivable purchase agreement was amended to include certain international subsidiaries of the company as parties to the agreement and Rackspace Receivables Canada Limited, a Canadian indirect subsidiary of the company, was established as a SPV.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connection with accounts receivable sold during the three months ended March 31, 2025 and 2026, we recorded $5.0 million and $4.6 million of yield charges and fees, respectively, within “Other expense, net” in the Condensed Consolidated Statements of Comprehensive Loss.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outstanding portfolio of sold accounts receivable derecognized from our Condensed Consolidated Balance Sheet as of December 31, 2025 and March 31, 2026 was $253.8 million and $251.4 million, respectively. The SPVs hold unsold accounts receivable of $65.3 million as of March 31, 2026 that are pledged as collateral to PNC.</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- 11 -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Net Earnings (Loss) Per Share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Basic net earnings (loss) per share is calculated by dividing net income (loss) attributable to common stockholders by the weighted average number of shares of common stock outstanding during the period. Diluted net earnings (loss) per share is calculated based on the weighted average number of shares of common stock plus the dilutive effect of potential common share equivalents outstanding during the period as determined under the treasury stock method.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earnings (loss) per share:</w:t>
      </w:r>
    </w:p>
    <w:tbl>
      <w:tblPr>
        <w:tblW w:w="7046" w:type="dxa"/>
        <w:jc w:val="left"/>
        <w:tblInd w:w="0" w:type="dxa"/>
        <w:tblLayout w:type="fixed"/>
        <w:tblCellMar>
          <w:top w:w="28" w:type="dxa"/>
          <w:left w:w="28" w:type="dxa"/>
          <w:bottom w:w="28" w:type="dxa"/>
          <w:right w:w="28" w:type="dxa"/>
        </w:tblCellMar>
      </w:tblPr>
      <w:tblGrid>
        <w:gridCol w:w="1444"/>
        <w:gridCol w:w="1267"/>
        <w:gridCol w:w="1278"/>
        <w:gridCol w:w="260"/>
        <w:gridCol w:w="718"/>
        <w:gridCol w:w="144"/>
        <w:gridCol w:w="144"/>
        <w:gridCol w:w="144"/>
        <w:gridCol w:w="144"/>
        <w:gridCol w:w="260"/>
        <w:gridCol w:w="618"/>
        <w:gridCol w:w="144"/>
        <w:gridCol w:w="109"/>
        <w:gridCol w:w="109"/>
        <w:gridCol w:w="109"/>
        <w:gridCol w:w="154"/>
      </w:tblGrid>
      <w:tr>
        <w:trPr/>
        <w:tc>
          <w:tcPr>
            <w:tcW w:w="144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data)</w:t>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Basic net earnings (loss) per share:</w:t>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per share computations</w:t>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Diluted net earnings (loss) per share:</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dilutive securities</w:t>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Number of shares used in per share computations</w:t>
            </w:r>
          </w:p>
        </w:tc>
        <w:tc>
          <w:tcPr>
            <w:tcW w:w="11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earnings (loss) per share</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Potential common share equivalents consist of shares issuable upon the exercise of stock options, vesting of restricted stock or purchase under the Employee Stock Purchase Plan (the "ESPP"), as well as contingent shares associated with our acquisition of Datapipe Parent, Inc. We excluded 19.4 million and 13.8 million potential common shares from the computation of dilutive earnings (loss) per share for the three months ended March 31, 2025 and 2026, respectively, because the effect would have been anti-dilutive.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- 12 -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5. Property, Equipment and Software, net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equipment and software, net, consisted of the following: </w:t>
      </w:r>
    </w:p>
    <w:tbl>
      <w:tblPr>
        <w:tblW w:w="5566" w:type="dxa"/>
        <w:jc w:val="left"/>
        <w:tblInd w:w="0" w:type="dxa"/>
        <w:tblLayout w:type="fixed"/>
        <w:tblCellMar>
          <w:top w:w="28" w:type="dxa"/>
          <w:left w:w="28" w:type="dxa"/>
          <w:bottom w:w="28" w:type="dxa"/>
          <w:right w:w="28" w:type="dxa"/>
        </w:tblCellMar>
      </w:tblPr>
      <w:tblGrid>
        <w:gridCol w:w="1105"/>
        <w:gridCol w:w="972"/>
        <w:gridCol w:w="982"/>
        <w:gridCol w:w="224"/>
        <w:gridCol w:w="791"/>
        <w:gridCol w:w="124"/>
        <w:gridCol w:w="109"/>
        <w:gridCol w:w="109"/>
        <w:gridCol w:w="109"/>
        <w:gridCol w:w="196"/>
        <w:gridCol w:w="691"/>
        <w:gridCol w:w="154"/>
      </w:tblGrid>
      <w:tr>
        <w:trPr/>
        <w:tc>
          <w:tcPr>
            <w:tcW w:w="110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w:t>
              <w:br/>
              <w:t>2026</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Computers and equipment</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Software</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Furniture and fixtures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Buildings and leasehold improvements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at cost</w:t>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1,967.0 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Accumulated depreciation </w:t>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equipment and software, net</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587.1 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6. Goodwill and Intangible Assets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 sets forth the changes in the carrying amounts of goodwill by reportable segment</w:t>
      </w:r>
      <w:r>
        <w:rPr>
          <w:rFonts w:ascii="Times New Roman;serif" w:hAnsi="Times New Roman;serif"/>
          <w:b w:val="false"/>
          <w:color w:val="000000"/>
          <w:sz w:val="20"/>
          <w:shd w:fill="FFFFFF" w:val="clear"/>
        </w:rPr>
        <w:t xml:space="preserve">. </w:t>
      </w:r>
    </w:p>
    <w:p>
      <w:pPr>
        <w:pStyle w:val="TextBody"/>
        <w:bidi w:val="0"/>
        <w:spacing w:before="0" w:after="0"/>
        <w:ind w:left="0" w:right="0" w:firstLine="540"/>
        <w:jc w:val="left"/>
        <w:rPr/>
      </w:pPr>
      <w:r>
        <w:rPr/>
      </w:r>
    </w:p>
    <w:tbl>
      <w:tblPr>
        <w:tblW w:w="8014" w:type="dxa"/>
        <w:jc w:val="left"/>
        <w:tblInd w:w="0" w:type="dxa"/>
        <w:tblLayout w:type="fixed"/>
        <w:tblCellMar>
          <w:top w:w="28" w:type="dxa"/>
          <w:left w:w="28" w:type="dxa"/>
          <w:bottom w:w="28" w:type="dxa"/>
          <w:right w:w="28" w:type="dxa"/>
        </w:tblCellMar>
      </w:tblPr>
      <w:tblGrid>
        <w:gridCol w:w="1107"/>
        <w:gridCol w:w="972"/>
        <w:gridCol w:w="980"/>
        <w:gridCol w:w="109"/>
        <w:gridCol w:w="109"/>
        <w:gridCol w:w="109"/>
        <w:gridCol w:w="252"/>
        <w:gridCol w:w="717"/>
        <w:gridCol w:w="140"/>
        <w:gridCol w:w="109"/>
        <w:gridCol w:w="109"/>
        <w:gridCol w:w="109"/>
        <w:gridCol w:w="230"/>
        <w:gridCol w:w="812"/>
        <w:gridCol w:w="128"/>
        <w:gridCol w:w="109"/>
        <w:gridCol w:w="109"/>
        <w:gridCol w:w="109"/>
        <w:gridCol w:w="109"/>
        <w:gridCol w:w="109"/>
        <w:gridCol w:w="109"/>
        <w:gridCol w:w="109"/>
        <w:gridCol w:w="109"/>
        <w:gridCol w:w="109"/>
        <w:gridCol w:w="196"/>
        <w:gridCol w:w="691"/>
        <w:gridCol w:w="154"/>
      </w:tblGrid>
      <w:tr>
        <w:trPr/>
        <w:tc>
          <w:tcPr>
            <w:tcW w:w="1107"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Public Cloud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Private Cloud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impairment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740.1 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Gross goodwill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597.1 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Less: accumulated impairment charges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(454.6)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(969.1)</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Goodwill, net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738.8 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On a consolidated basis, gross and net goodwill as of March 31, 2026 was $3,044.4 million and $738.8 million, respectively. Accumulated impairment charges on a consolidated basis was $2,305.6 million as of March 31, 2026.</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provides information regarding our intangible assets other than goodwill: </w:t>
      </w:r>
    </w:p>
    <w:tbl>
      <w:tblPr>
        <w:tblW w:w="10205" w:type="dxa"/>
        <w:jc w:val="center"/>
        <w:tblInd w:w="0" w:type="dxa"/>
        <w:tblLayout w:type="fixed"/>
        <w:tblCellMar>
          <w:top w:w="28" w:type="dxa"/>
          <w:left w:w="28" w:type="dxa"/>
          <w:bottom w:w="28" w:type="dxa"/>
          <w:right w:w="28" w:type="dxa"/>
        </w:tblCellMar>
      </w:tblPr>
      <w:tblGrid>
        <w:gridCol w:w="689"/>
        <w:gridCol w:w="441"/>
        <w:gridCol w:w="445"/>
        <w:gridCol w:w="227"/>
        <w:gridCol w:w="801"/>
        <w:gridCol w:w="126"/>
        <w:gridCol w:w="109"/>
        <w:gridCol w:w="109"/>
        <w:gridCol w:w="109"/>
        <w:gridCol w:w="253"/>
        <w:gridCol w:w="912"/>
        <w:gridCol w:w="141"/>
        <w:gridCol w:w="109"/>
        <w:gridCol w:w="109"/>
        <w:gridCol w:w="109"/>
        <w:gridCol w:w="230"/>
        <w:gridCol w:w="653"/>
        <w:gridCol w:w="128"/>
        <w:gridCol w:w="109"/>
        <w:gridCol w:w="109"/>
        <w:gridCol w:w="109"/>
        <w:gridCol w:w="227"/>
        <w:gridCol w:w="801"/>
        <w:gridCol w:w="126"/>
        <w:gridCol w:w="109"/>
        <w:gridCol w:w="109"/>
        <w:gridCol w:w="109"/>
        <w:gridCol w:w="253"/>
        <w:gridCol w:w="912"/>
        <w:gridCol w:w="141"/>
        <w:gridCol w:w="109"/>
        <w:gridCol w:w="109"/>
        <w:gridCol w:w="109"/>
        <w:gridCol w:w="228"/>
        <w:gridCol w:w="648"/>
        <w:gridCol w:w="188"/>
      </w:tblGrid>
      <w:tr>
        <w:trPr/>
        <w:tc>
          <w:tcPr>
            <w:tcW w:w="68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carrying amount</w:t>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(1,377.6)</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557.8 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1,934.0 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(1,407.5)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definite-lived intangible assets</w:t>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1,962.1 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558.3 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1,960.6 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527.1 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 (indefinite-lived)</w:t>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intangible assets other than goodwill</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2,102.1 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(1,403.8)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698.3 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2,100.6 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(1,433.5)</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667.1 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- 13 -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7. Debt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Debt consisted of the following: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70"/>
        <w:gridCol w:w="1002"/>
        <w:gridCol w:w="1011"/>
        <w:gridCol w:w="109"/>
        <w:gridCol w:w="109"/>
        <w:gridCol w:w="109"/>
        <w:gridCol w:w="401"/>
        <w:gridCol w:w="388"/>
        <w:gridCol w:w="390"/>
        <w:gridCol w:w="109"/>
        <w:gridCol w:w="109"/>
        <w:gridCol w:w="109"/>
        <w:gridCol w:w="344"/>
        <w:gridCol w:w="344"/>
        <w:gridCol w:w="345"/>
        <w:gridCol w:w="109"/>
        <w:gridCol w:w="109"/>
        <w:gridCol w:w="109"/>
        <w:gridCol w:w="196"/>
        <w:gridCol w:w="691"/>
        <w:gridCol w:w="109"/>
        <w:gridCol w:w="109"/>
        <w:gridCol w:w="109"/>
        <w:gridCol w:w="109"/>
        <w:gridCol w:w="344"/>
        <w:gridCol w:w="344"/>
        <w:gridCol w:w="345"/>
        <w:gridCol w:w="109"/>
        <w:gridCol w:w="109"/>
        <w:gridCol w:w="109"/>
        <w:gridCol w:w="196"/>
        <w:gridCol w:w="691"/>
        <w:gridCol w:w="159"/>
      </w:tblGrid>
      <w:tr>
        <w:trPr/>
        <w:tc>
          <w:tcPr>
            <w:tcW w:w="1270"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r>
      <w:tr>
        <w:trPr/>
        <w:tc>
          <w:tcPr>
            <w:tcW w:w="3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Debt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Interest Rate</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r>
      <w:tr>
        <w:trPr/>
        <w:tc>
          <w:tcPr>
            <w:tcW w:w="32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FLSO 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FLFO Term Loan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FLSO Senior Secured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3.50% Senior 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5.375%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1,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amount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debt issuance costs, debt premium, and debt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230.9 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2,746.0 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2,708.5 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portion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excluding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2,681.9 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 xml:space="preserve">(1)    Contractual interest rate as of each respective balance sheet date. The Revolving Credit Facility interest rate is the weighted average interest rate of borrowings outstanding as of the balance sheet date.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Senior Facilities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LLC (“Rackspace Finance Holdings”), Rackspace Finance, LLC ( “Rackspace Finance”), the lenders and issuing banks party thereto and Citibank, N.A., as the administrative agent and collateral agent, entered into the credit agreement governing the FLSO Term Loan Facility, FLFO Term Loan Facility and Revolving Credit Facility (together, the “Senior Facilities”) (the “First Lien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 xml:space="preserve">Rackspace Finance issued the FLSO Term Loan Facility in an aggregate principal amount of $1,687.2 million. The FLSO Term Loan Facility matures on May 15, 2028. Borrowings under the FLSO Term Loan Facility bear interest at an annual rate equal to </w:t>
      </w:r>
      <w:r>
        <w:rPr>
          <w:rFonts w:ascii="Times New Roman;serif" w:hAnsi="Times New Roman;serif"/>
          <w:b w:val="false"/>
          <w:color w:val="000000"/>
          <w:sz w:val="20"/>
          <w:shd w:fill="FFFFFF" w:val="clear"/>
        </w:rPr>
        <w:t xml:space="preserve">Term Secured Overnight Financing Rate ( </w:t>
      </w:r>
      <w:r>
        <w:rPr>
          <w:color w:val="000000"/>
        </w:rPr>
        <w:t>“</w:t>
      </w:r>
      <w:r>
        <w:rPr>
          <w:rFonts w:ascii="Times New Roman;serif" w:hAnsi="Times New Roman;serif"/>
          <w:b w:val="false"/>
          <w:color w:val="000000"/>
          <w:sz w:val="20"/>
          <w:shd w:fill="FFFFFF" w:val="clear"/>
        </w:rPr>
        <w:t>SOFR</w:t>
      </w:r>
      <w:r>
        <w:rPr>
          <w:color w:val="000000"/>
        </w:rPr>
        <w:t>”</w:t>
      </w:r>
      <w:r>
        <w:rPr>
          <w:rFonts w:ascii="Times New Roman;serif" w:hAnsi="Times New Roman;serif"/>
          <w:b w:val="false"/>
          <w:color w:val="000000"/>
          <w:sz w:val="20"/>
        </w:rPr>
        <w:t>)</w:t>
      </w:r>
      <w:r>
        <w:rPr>
          <w:color w:val="000000"/>
          <w:shd w:fill="FFFFFF" w:val="clear"/>
        </w:rPr>
        <w:t xml:space="preserve"> </w:t>
      </w:r>
      <w:r>
        <w:rPr>
          <w:rFonts w:ascii="Times New Roman;serif" w:hAnsi="Times New Roman;serif"/>
          <w:b w:val="false"/>
          <w:color w:val="000000"/>
          <w:sz w:val="20"/>
          <w:shd w:fill="FFFFFF" w:val="clear"/>
        </w:rPr>
        <w:t>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plus an applicable margin of 2.75%.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March 31, 2026, the contractual interest rate on the FLSO Term Loan Facility was 6.54%. We are required to make quarterly principal payments of $4.2 million</w:t>
      </w:r>
      <w:r>
        <w:rPr>
          <w:rFonts w:ascii="Times New Roman;serif" w:hAnsi="Times New Roman;serif"/>
          <w:b w:val="false"/>
          <w:color w:val="000000"/>
          <w:sz w:val="20"/>
          <w:shd w:fill="FFFFFF" w:val="clear"/>
        </w:rPr>
        <w:t xml:space="preserv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Affiliates of Apollo are FLSO Term Loan Facility lenders under the First Lien Credit Agreement. As of March 31, 2026, the outstanding principal amount of the FLSO Term Loan Facility was $1,605.8 million, of which $79.4 million, or 4.9%, is due to Apollo affiliates.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may prepay some or all of the FLSO Term Loan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FLSO Term Loan Facility as of March 31, 2026 was $722.6 million, based on quoted market prices for identical assets that are traded in over-the-counter secondary markets that are not considered active. The fair value of the FLSO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contains certain customary affirmative covenants, negative covenants, and events of default.</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- 14 -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FLFO Term Loan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Finance issued the FLFO Term Loan Facility in an initial aggregate principal amount of $275.0 million. The FLFO Term Loan Facility matures on May 15, 2028. Borrowings under the FLFO Term Loan Facility bear interest at an annual rate equal to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plus an applicable margin of 6.25% and were issued with 1.00% of original issue discount.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the contractual interest rate on the FLFO Term Loan Facility was 10.04%. We are required to make quarterly principal payments of $0.7 million.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On or after September 12, 2025 but prior to September 12, 2027, </w:t>
      </w:r>
      <w:r>
        <w:rPr>
          <w:rFonts w:ascii="Times New Roman;serif" w:hAnsi="Times New Roman;serif"/>
          <w:b w:val="false"/>
          <w:color w:val="000000"/>
          <w:sz w:val="20"/>
        </w:rPr>
        <w:t>Rackspace Finance</w:t>
      </w:r>
      <w:r>
        <w:rPr>
          <w:color w:val="000000"/>
          <w:shd w:fill="FFFFFF" w:val="clear"/>
        </w:rPr>
        <w:t xml:space="preserve"> </w:t>
      </w:r>
      <w:r>
        <w:rPr>
          <w:rFonts w:ascii="Times New Roman;serif" w:hAnsi="Times New Roman;serif"/>
          <w:b w:val="false"/>
          <w:color w:val="000000"/>
          <w:sz w:val="20"/>
          <w:shd w:fill="FFFFFF" w:val="clear"/>
        </w:rPr>
        <w:t xml:space="preserve">may prepay some or all of the FLFO Term Loan Facility, together with accrued and unpaid interest, subject to a prepayment fee equal to (x) 3.00% of the principal amount of the FLFO Term Loan Facility so prepaid prior to September 12, 2026 and (y) 1.00% of the principal amount of the FLFO Term Loan Facility so prepaid on or after September 12, 2026 but prior to September 12, 2027. On or after September 12, 2027, </w:t>
      </w:r>
      <w:r>
        <w:rPr>
          <w:rFonts w:ascii="Times New Roman;serif" w:hAnsi="Times New Roman;serif"/>
          <w:b w:val="false"/>
          <w:color w:val="000000"/>
          <w:sz w:val="20"/>
        </w:rPr>
        <w:t>Rackspace Finance</w:t>
      </w:r>
      <w:r>
        <w:rPr>
          <w:color w:val="000000"/>
          <w:shd w:fill="FFFFFF" w:val="clear"/>
        </w:rPr>
        <w:t xml:space="preserve"> </w:t>
      </w:r>
      <w:r>
        <w:rPr>
          <w:rFonts w:ascii="Times New Roman;serif" w:hAnsi="Times New Roman;serif"/>
          <w:b w:val="false"/>
          <w:color w:val="000000"/>
          <w:sz w:val="20"/>
          <w:shd w:fill="FFFFFF" w:val="clear"/>
        </w:rPr>
        <w:t>may prepay some or all of the FLFO Term Loan Facility, together with accrued and unpaid interest, without prepayment premium or penalty.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FLFO Term Loan Facility as of March 31, 2026 was $268.2 million, based on quoted market prices for identical assets that are traded in over-the-counter secondary markets that are not considered active. The fair value of the FLFO Term Loan Facility is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FLFO Term Loan Facility contains certain customary affirmative covenants, negative covenants, and events of default.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shd w:fill="FFFFFF" w:val="clear"/>
        </w:rPr>
      </w:pPr>
      <w:r>
        <w:rPr>
          <w:rFonts w:ascii="Times New Roman;serif" w:hAnsi="Times New Roman;serif"/>
          <w:b w:val="false"/>
          <w:color w:val="000000"/>
          <w:sz w:val="20"/>
          <w:u w:val="single"/>
          <w:shd w:fill="FFFFFF" w:val="clear"/>
        </w:rPr>
        <w:t>Revolving Credit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established the Revolving Credit Facility in an aggregate principal amount of $375.0 million of commitments. The Revolving Credit Facility matures on May 15, 2028 and bears interest at an annual rate equal to Term SOFR equal to the forward-looking term rate, based on the secured overnight financing rate as administered by the Federal Reserve Bank of New York, for the interest period relevant to such borrowing, subject to a 1.00% floor, plus an applicable margin of initially 3.00%. The applicable margin is subject to a net first lien leverage-based pricing grid as set forth in the First Lien Credit Agreement. In addition to paying interest on the outstanding principal under the Revolving Credit Facility, Rackspace Finance is required to pay a commitment fee equal to initially 0.50% per annum to the lenders under the Revolving Credit Facility in respect of the unutilized commitments thereunder. The commitment fee is subject to a net first lien leverage-based pricing grid as set forth in the First Lien Credit Agreement. Rackspace Finance may prepay loans incurred under the Revolving Credit Facility, together with accrued and unpaid interest, without prepayment premium or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Revolving Credit Facility contains certain customary affirmative covenants, negative covenants, and events of default. In addition, the Revolving Credit Facility contains a financial covenant which limits the super-priority net senior secured leverage ratio to a maximum of 5.00 to 1.00; however, this covenant is only applicable and tested if the aggregate amount of outstanding borrowings under the Revolving Credit Facility and letters of credit issued thereunder (excluding $25.0 million of undrawn letters of credit and cash collateralized letters of credit) as of the last day of a fiscal quarter is greater than 35% of the Revolving Credit Facility commitments as of the last day of such fiscal quarter.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we borrowed $125.0 million and repaid $35.0 million on the Revolving Credit Facility.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we had total commitments of $375.0 million, $150.0 million of outstanding borrowings under the Revolving Credit Facility, and $23.5 million of letters of credit issued thereunder. As such,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we had $201.5 million of available commitments remaining.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were in compliance with all covenants under the Senior Facilities.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- 15 -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March 12, 2024, Rackspace Finance issued $267.3 million initial aggregate principal amount of the 3.50% FLSO Senior Secured Notes. On April 2, 2024 and April 16, 2024, Rackspace Finance issued additional 3.50% FLSO Senior Secured Notes in an aggregate principal amount of $93.3 million and $3.6 million, respectively. The 3.50% FLSO Senior Secured Notes will mature on May 15, 2028 and bear interest at an annual fixed rate of 3.50%. Interest is payable semiannually on February 15 and August 15. The 3.50% FLSO Senior Secured Notes are not subject to registration rights.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may redeem the 3.50% FLSO Senior Secured Notes at its option, in whole at any time or in part from time to time, at a redemption price equal to 100% of the principal amount of the 3.50% FLSO Senior Secured Notes redeemed, plus accrued and unpaid interest, if any, to but excluding the redemption date.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Rackspace Finance repurchased and surrendered for cancellation $68.3 million principal amount of the 3.50% FLSO Senior Secured Notes for $34.5 million, including accrued interest and fees of $0.4 million. In connection with these repurchases, we recorded a gain, included in "Gain on debt extinguishment", of $39.1 million, in our Condensed Consolidated Statements of Comprehensive Loss for the three months ended March 31, 2026, which includes $5.1 million of unamortized debt premium write-offs.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The indenture governing the 3.50% FLSO Senior Secured Notes (the “3.50% FLSO Senior Secured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FLSO Senior Secured Notes Indenture. Additionally, upon the occurrence of a change of control (as defined in the 3.50% FLSO Senior Secured Notes Indenture), we will be required to make an offer to repurchase all of the outstanding 3.50% FLSO Senior Secured Notes at a price in cash equal to 101.000% of the aggregate principal amount, plus accrued and unpaid interest, if any, to, but not including the purchase date. The 3.50% FLSO Senior Secured Notes Indenture also contains customary events of default.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were in compliance with all covenants under the 3.50% FLSO Senior Secured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The fair value of the 3.50% FLSO Senior Secured Notes as of March 31, 2026 was </w:t>
      </w:r>
      <w:r>
        <w:rPr>
          <w:rFonts w:ascii="Times New Roman;serif" w:hAnsi="Times New Roman;serif"/>
          <w:b w:val="false"/>
          <w:color w:val="000000"/>
          <w:sz w:val="20"/>
        </w:rPr>
        <w:t>$120.1 million</w:t>
      </w:r>
      <w:r>
        <w:rPr>
          <w:color w:val="000000"/>
          <w:shd w:fill="FFFFFF" w:val="clear"/>
        </w:rPr>
        <w:t xml:space="preserve"> </w:t>
      </w:r>
      <w:r>
        <w:rPr>
          <w:rFonts w:ascii="Times New Roman;serif" w:hAnsi="Times New Roman;serif"/>
          <w:b w:val="false"/>
          <w:color w:val="000000"/>
          <w:sz w:val="20"/>
          <w:shd w:fill="FFFFFF" w:val="clear"/>
        </w:rPr>
        <w:t>based on quoted market prices for identical assets that are traded in over-the-counter secondary markets that are not considered active. The fair value of the 3.50% FLSO Senior Secured Notes are classified as Level 2 within the fair value hierarchy.</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amended and restated the credit agreement governing the $2,300.0 million Term Loan Facility. The Term Loan Facility matures on February 15,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Borrowings under the Term Loan Facility bear interest at an annual rate equal to an applicable margin plus, at our option, either (a) Term SOFR equal to the forward-looking term rate, based on the secured overnight financing rate as administered by the Federal Reserve Bank of New York, for the interest period relevant to such borrowing, plus a credit spread adjustment of 0.11% for an interest period of one-month's duration, 0.26% for an interest period of three-month duration, and 0.43% for an interest period of six-month duration, subject to a 0.75% floor or (b) a base rate determined by reference to the highest of (i) the federal funds rate plus 0.50%, (ii) the prime rate last quoted by The Wall Street Journal and (iii) adjusted Term SOFR for a one-month tenor plus 1.00%.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applicable margin for the Term Loan Facility is 2.75% for SOFR loans and 1.75% for base rate loans. Interest is due at the end of each interest period elected, not exceeding 90 days, for SOFR loans and at the end of every calendar quarter for base rate loans.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contractual interest rate on the Term Loan Facility was 6.54%. We are required to make quarterly principal payments of $0.2 million.</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- 16 -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 addition to the quarterly amortization payments discussed above, the Term Loan Facility requires us to make certain mandatory prepayments, including using (i) a portion of annual excess cash flow, as defined in the credit agreement governing the Term Loan Facility, to prepay the Term Loan Facility, (ii) net cash proceeds of certain non-ordinary assets sales or dispositions of property to prepay the Term Loan Facility and (iii) net cash proceeds of any issuance or incurrence of debt not permitted under the Term Loan Facility to prepay the Term Loan Facility. We may make voluntary prepayments at any time without penalty.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were in compliance with all covenants under the credit agreement governing the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Term Loan Facility as of March 31, 2026 was $20.4 million, based on quoted market prices for identical assets that are traded in over-the-counter secondary markets that are not considered active. The fair value of the Term Loan Facility is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9, 2021, Rackspace Technology Global issued $550.0 million aggregate principal amount of the 3.50% Senior Secured Notes. The 3.50% Senior Secured Notes will mature on February 15, 2028 and bear interest at an annual fixed rate of 3.50%. Interest is payable semiannually on February 15 and August 15. The 3.50% Senior Secured Notes are not subject to registration rights.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Rackspace Technology Global may redeem the 3.50% Senior Secured Notes at its option, in whole at any time or in part from time to time, at a redemption price equal to 100.000% of the principal amount, plus accrued and unpaid interest, if any, to but excluding the redemption date. Notwithstanding the foregoing, Rackspace Technology Global m</w:t>
      </w:r>
      <w:r>
        <w:rPr>
          <w:rFonts w:ascii="Times New Roman;serif" w:hAnsi="Times New Roman;serif"/>
          <w:b w:val="false"/>
          <w:color w:val="000000"/>
          <w:sz w:val="20"/>
          <w:shd w:fill="FFFFFF" w:val="clear"/>
        </w:rPr>
        <w:t xml:space="preserve">ay redeem during each twelve-month period, commencing with February 9, 2021, up to 10.0% of the original aggregate principal amount of the </w:t>
      </w:r>
      <w:r>
        <w:rPr>
          <w:rFonts w:ascii="Times New Roman;serif" w:hAnsi="Times New Roman;serif"/>
          <w:b w:val="false"/>
          <w:color w:val="000000"/>
          <w:sz w:val="20"/>
        </w:rPr>
        <w:t xml:space="preserve">3.50% Senior Secured Notes </w:t>
      </w:r>
      <w:r>
        <w:rPr>
          <w:rFonts w:ascii="Times New Roman;serif" w:hAnsi="Times New Roman;serif"/>
          <w:b w:val="false"/>
          <w:color w:val="000000"/>
          <w:sz w:val="20"/>
          <w:shd w:fill="FFFFFF" w:val="clear"/>
        </w:rPr>
        <w:t>at a redemption price of 103.000%, plus accrued and unpaid interest, if any, to, but excluding, the applicable redemption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During the three months ended March 31, 2026, Rackspace Technology Global repurchased and surrendered for cancellation $1.3 million principal amount of the 3.50%</w:t>
      </w:r>
      <w:r>
        <w:rPr>
          <w:color w:val="000000"/>
        </w:rPr>
        <w:t xml:space="preserve"> </w:t>
      </w:r>
      <w:r>
        <w:rPr>
          <w:rFonts w:ascii="Times New Roman;serif" w:hAnsi="Times New Roman;serif"/>
          <w:b w:val="false"/>
          <w:color w:val="000000"/>
          <w:sz w:val="20"/>
        </w:rPr>
        <w:t>Senior Secured Notes for $0.6 million. In connection with this repurchase, we recorded a gain, included in "Gain on debt extinguishment", of $0.7 million, in our Condensed Consolidated Statements of Comprehensive Loss for the three months ended March 31, 2026.</w:t>
      </w:r>
    </w:p>
    <w:p>
      <w:pPr>
        <w:pStyle w:val="TextBody"/>
        <w:bidi w:val="0"/>
        <w:spacing w:before="0" w:after="0"/>
        <w:ind w:left="0" w:right="0" w:firstLine="49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3.50% Senior Secured Notes (the “3.50%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3.50% Notes Indenture. Additionally, upon the occurrence of a change of control (as defined in the 3.50% Notes Indenture), we will be required to make an offer to repurchase all of the outstanding 3.50% Senior Secured Notes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Rackspace Technology Global was in compliance with all covenants under the 3.50%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fair value of the 3.50% Senior Secured Notes as of March 31, 2026 was $16.6 million, based on quoted market prices for identical assets that are traded in over-the-counter secondary markets that are not considered active. The fair value of the 3.50% Senior Secured Notes are classified as Level 2 within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December 1, 2020, Rackspace Technology Global issued $550.0 million aggregate principal amount of the 5.375% Senior Notes. The 5.375% Senior Notes will mature on December 1, 2028 and bear interest at an annual fixed rate of 5.375%. Interest is payable semiannually on June 1 and December 1. The 5.375% Senior Notes are not subject to registration rights.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Technology Global may redeem the 5.375% Senior Notes at its option, in whole at any time or in part from time to time, at a redemption price equal to 100.000% of the principal amount, plus accrued and unpaid interest, if any, to but excluding the redemption date.</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- 17 -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both"/>
        <w:rPr/>
      </w:pPr>
      <w:r>
        <w:rPr>
          <w:rFonts w:ascii="Times New Roman;serif" w:hAnsi="Times New Roman;serif"/>
          <w:b w:val="false"/>
          <w:color w:val="000000"/>
          <w:sz w:val="20"/>
        </w:rPr>
        <w:t>During the three months ended March 31, 2026, Rackspace Technology Global repurchased and surrendered for cancellation $26.9 million principal amount of the 5.375%</w:t>
      </w:r>
      <w:r>
        <w:rPr>
          <w:color w:val="000000"/>
        </w:rPr>
        <w:t xml:space="preserve"> </w:t>
      </w:r>
      <w:r>
        <w:rPr>
          <w:rFonts w:ascii="Times New Roman;serif" w:hAnsi="Times New Roman;serif"/>
          <w:b w:val="false"/>
          <w:color w:val="000000"/>
          <w:sz w:val="20"/>
        </w:rPr>
        <w:t>Senior Secured Notes for $11.3 million, including accrued interest and fees of $0.5 million. In connection with this repurchase, we recorded a gain, included in "Gain on debt extinguishment", of $15.9 million, in our Condensed Consolidated Statements of Comprehensive Loss for the three months ended March 31, 2026, which includes $0.1 million of unamortized debt issuance costs write-offs.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 governing the 5.375% Senior Notes (the “5.375% Notes Indenture”) contains covenants that, among other things, limit our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5.375% Notes Indenture. Additionally, upon the occurrence of a change of control (as defined in the 5.375% Notes Indenture), we will be required to make an offer to repurchase all of the outstanding 5.375% Senior Notes at a price in cash equal to 101.000% of the aggregate principal amount, plus accrued and unpaid interest, if any, to, but not including the purchase date.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Rackspace Technology Global was in compliance with all covenants under the 5.375% Notes Indenture.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the 5.375% Senior Notes as of March 31, 2026 was $38.4 million, based on quoted market prices for identical assets that are traded in over-the-counter secondary markets that are not considered active. The fair value of the 5.375% Senior Notes are classified as Level 2 within the fair value hierarchy.</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Subsequent Debt Repurchases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and through May 8, 2026, we repurchased and surrendered for cancellation an additional $11.2 million aggregate principal amount of 3.50% FLSO Senior Secured Notes and 5.375% Senior Notes for $4.8 million, including accrued interest and fees of $0.2 million.</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contingencies that arise from various litigation, claims and commitments, none of which we consider to be material.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 party to various legal proceedings arising in the ordinary course of business. In addition, third parties may bring intellectual property claims against us asserting that certain of our offerings, services and technologies infringe, misappropriate or otherwise violate the intellectual property or proprietary rights of others. Adverse results in these lawsuits may include awards of substantial monetary damages, costly royalty or licensing agreements, or orders preventing us from offering certain features, products, or services, and may also cause us to change our business practices and require development of non-infringing products or technologies, which could result in a loss of revenue for us or otherwise harm our business.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an accrual for a loss contingency when a loss is considered probable and reasonably estimable. As additional facts concerning a loss contingency become known, we reassess our position and make appropriate adjustments to a recorded accrual. The amount that will ultimately be paid related to a matter may differ from the recorded accrual, and the timing of such payments, if any, may be uncertain.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not a party to any litigation, the outcome of which, if determined adversely to us, would individually or in the aggregate be reasonably expected to have a material and adverse effect on our business, financial position or results of operations.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- 18 -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Share-Based Compensation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2020 Incentive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granted 1.3 million restricted stock units (“RSUs”) under the Rackspace Technology, Inc. 2020 Equity Incentive Plan (the “2020 Incentive Plan”) with a weighted-average grant date fair value of $2.19. The majority of the RSUs were granted as part of our promotion and recruitment process and vest ratably over a three-year period, subject to continued service.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Share-Based Compensation Expense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 is comprised of the following equity and liability classified award amounts:</w:t>
      </w:r>
    </w:p>
    <w:p>
      <w:pPr>
        <w:pStyle w:val="TextBody"/>
        <w:bidi w:val="0"/>
        <w:spacing w:before="0" w:after="0"/>
        <w:ind w:left="0" w:right="0" w:firstLine="540"/>
        <w:jc w:val="left"/>
        <w:rPr/>
      </w:pPr>
      <w:r>
        <w:rPr/>
      </w:r>
    </w:p>
    <w:tbl>
      <w:tblPr>
        <w:tblW w:w="6060" w:type="dxa"/>
        <w:jc w:val="left"/>
        <w:tblInd w:w="0" w:type="dxa"/>
        <w:tblLayout w:type="fixed"/>
        <w:tblCellMar>
          <w:top w:w="28" w:type="dxa"/>
          <w:left w:w="28" w:type="dxa"/>
          <w:bottom w:w="28" w:type="dxa"/>
          <w:right w:w="28" w:type="dxa"/>
        </w:tblCellMar>
      </w:tblPr>
      <w:tblGrid>
        <w:gridCol w:w="1087"/>
        <w:gridCol w:w="955"/>
        <w:gridCol w:w="958"/>
        <w:gridCol w:w="284"/>
        <w:gridCol w:w="676"/>
        <w:gridCol w:w="158"/>
        <w:gridCol w:w="158"/>
        <w:gridCol w:w="158"/>
        <w:gridCol w:w="158"/>
        <w:gridCol w:w="284"/>
        <w:gridCol w:w="545"/>
        <w:gridCol w:w="158"/>
        <w:gridCol w:w="109"/>
        <w:gridCol w:w="109"/>
        <w:gridCol w:w="109"/>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classified awards</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classified awards</w:t>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Total share-based compensation expense recogniz</w:t>
      </w:r>
      <w:r>
        <w:rPr>
          <w:rFonts w:ascii="Times New Roman;serif" w:hAnsi="Times New Roman;serif"/>
          <w:b w:val="false"/>
          <w:color w:val="000000"/>
          <w:sz w:val="20"/>
          <w:shd w:fill="FFFFFF" w:val="clear"/>
        </w:rPr>
        <w:t xml:space="preserve">ed </w:t>
      </w:r>
      <w:r>
        <w:rPr>
          <w:rFonts w:ascii="Times New Roman;serif" w:hAnsi="Times New Roman;serif"/>
          <w:b w:val="false"/>
          <w:color w:val="000000"/>
          <w:sz w:val="20"/>
        </w:rPr>
        <w:t>was as follows: </w:t>
      </w:r>
    </w:p>
    <w:tbl>
      <w:tblPr>
        <w:tblW w:w="6806" w:type="dxa"/>
        <w:jc w:val="left"/>
        <w:tblInd w:w="0" w:type="dxa"/>
        <w:tblLayout w:type="fixed"/>
        <w:tblCellMar>
          <w:top w:w="28" w:type="dxa"/>
          <w:left w:w="28" w:type="dxa"/>
          <w:bottom w:w="28" w:type="dxa"/>
          <w:right w:w="28" w:type="dxa"/>
        </w:tblCellMar>
      </w:tblPr>
      <w:tblGrid>
        <w:gridCol w:w="1359"/>
        <w:gridCol w:w="1193"/>
        <w:gridCol w:w="1197"/>
        <w:gridCol w:w="299"/>
        <w:gridCol w:w="574"/>
        <w:gridCol w:w="166"/>
        <w:gridCol w:w="166"/>
        <w:gridCol w:w="166"/>
        <w:gridCol w:w="166"/>
        <w:gridCol w:w="299"/>
        <w:gridCol w:w="574"/>
        <w:gridCol w:w="166"/>
        <w:gridCol w:w="109"/>
        <w:gridCol w:w="109"/>
        <w:gridCol w:w="109"/>
        <w:gridCol w:w="154"/>
      </w:tblGrid>
      <w:tr>
        <w:trPr/>
        <w:tc>
          <w:tcPr>
            <w:tcW w:w="135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Pre-tax share-based compensation expense</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Income tax benefit</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share-based compensation expense, net of tax</w:t>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As of March 31, 2026, there was $22.2 million of total unrecognized compensation cost related to RSUs, performance stock units, stock options, and the ESPP, which will be recognized using the service period or over our best estimate of the period over which the performance condition will be met, as applicable. Additionally, as of March 31, 2026 there was $7.2 million of total unrecognized expense related to l</w:t>
      </w:r>
      <w:r>
        <w:rPr>
          <w:rFonts w:ascii="Times New Roman;serif" w:hAnsi="Times New Roman;serif"/>
          <w:b w:val="false"/>
          <w:color w:val="000000"/>
          <w:sz w:val="20"/>
        </w:rPr>
        <w:t>ong-term incentive cash</w:t>
      </w:r>
      <w:r>
        <w:rPr>
          <w:color w:val="000000"/>
          <w:shd w:fill="FFFFFF" w:val="clear"/>
        </w:rPr>
        <w:t xml:space="preserve"> </w:t>
      </w:r>
      <w:r>
        <w:rPr>
          <w:rFonts w:ascii="Times New Roman;serif" w:hAnsi="Times New Roman;serif"/>
          <w:b w:val="false"/>
          <w:color w:val="000000"/>
          <w:sz w:val="20"/>
          <w:shd w:fill="FFFFFF" w:val="clear"/>
        </w:rPr>
        <w:t xml:space="preserve">awards, which will be recognized over the remaining service period. The expense ultimately recognized is dependent on the fair value of the award as of the end of the performance periods. </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Taxes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are subject to U.S. federal income tax and various state, local, and international income taxes in numerous jurisdictions. The differences between our effective tax rate and the U.S. federal statutory rate of 21% generally result from various factors, including the geographical distribution of taxable income, contingency reserves for uncertain tax positions, and permanent differences between the book and tax treatment of certain items. Additionally, the amount of income taxes paid is subject to our interpretation of applicable tax laws in the jurisdictions in which we file. For the three months ended March 31, 2026, our effective tax rate is lower than the U.S. federal statutory rate of 21% primarily due to the tax impact associated with changes in valuation allowance, executive compensation that is nondeductible under Internal Revenue Code (“IRC”) Section 162(m), and the net impact of the geographic distribution of our earnings.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- 19 -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11. Derivatives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utilize derivative instruments, including interest rate swap agreements, to manage our exposure to interest rate risk. We only hold such instruments for economic hedging purposes, not for speculative or trading purposes. Our derivative instruments are transacted only with highly-rated institutions, which reduces our exposure to credit risk in the event of nonperformance.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interest rate risk associated with fluctuations in interest rates on the floating-rate Term Loan Facility, FLSO Term Loan Facility, and FLFO Term Loan Facility. The objective in using interest rate derivatives is to manage our exposure to interest rate movements. To accomplish this objective, we have entered into interest rate swap agreements as part of our interest rate risk management strategy. Interest rate swaps involve the receipt of variable amounts from a counterparty in exchange for the company making fixed-rate payments over the life of the agreements without exchange of the underlying notional amount.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On February 9, 2021, we entered into a $1.35 billion pay-fixed interest rate swap that matured in February 2026. </w:t>
      </w:r>
      <w:r>
        <w:rPr>
          <w:rFonts w:ascii="Times New Roman;serif" w:hAnsi="Times New Roman;serif"/>
          <w:b w:val="false"/>
          <w:color w:val="000000"/>
          <w:sz w:val="20"/>
          <w:shd w:fill="FFFFFF" w:val="clear"/>
        </w:rPr>
        <w:t xml:space="preserve">The pay-fixed interest rate swap qualified as a hybrid instrument in accordance with ASC No. 815, </w:t>
      </w:r>
      <w:r>
        <w:rPr>
          <w:rFonts w:ascii="Times New Roman;serif" w:hAnsi="Times New Roman;serif"/>
          <w:b w:val="false"/>
          <w:i/>
          <w:color w:val="000000"/>
          <w:sz w:val="20"/>
          <w:shd w:fill="FFFFFF" w:val="clear"/>
        </w:rPr>
        <w:t>Derivatives and Hedging</w:t>
      </w:r>
      <w:r>
        <w:rPr>
          <w:rFonts w:ascii="Times New Roman;serif" w:hAnsi="Times New Roman;serif"/>
          <w:b w:val="false"/>
          <w:color w:val="000000"/>
          <w:sz w:val="20"/>
          <w:shd w:fill="FFFFFF" w:val="clear"/>
        </w:rPr>
        <w:t>, consisting of a loan and an embedded at-market derivative that was designated as a cash flow hedge. The loan was accounted for at amortized cost over the life of the swap while the embedded at-market derivative was accounted for at fair value. The $1.35 billion swap was indexed to one-month Term SOFR and net settled on a monthly basis with the counterparty for the difference between the fixed rate of 2.34150% and the variable rate based upon one-month Term SOFR (subject to a floor of 0.75%) as applied to the notional amount of the swap. The cash flows related to the portion treated as debt was classified as financing activities in the Condensed Consolidated Statements of Cash Flows while the portion treated as an at-market derivative was classified as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interest rate swap agreement, excluding the portion treated as debt, was recognized at fair value in the Condensed Consolidated Balance Sheets and was valued using pricing models that rely on market observable inputs such as yield curve data, which are classified as Level 2 inputs within the fair value hierarchy.</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December 31, 2025 the cash flow hedge was highly effective. Our interest rate swap matured on February 9, 2026. Therefore, as of </w:t>
      </w:r>
      <w:r>
        <w:rPr>
          <w:rFonts w:ascii="Times New Roman;serif" w:hAnsi="Times New Roman;serif"/>
          <w:b w:val="false"/>
          <w:color w:val="000000"/>
          <w:sz w:val="20"/>
        </w:rPr>
        <w:t xml:space="preserve">March 31, 2026, </w:t>
      </w:r>
      <w:r>
        <w:rPr>
          <w:rFonts w:ascii="Times New Roman;serif" w:hAnsi="Times New Roman;serif"/>
          <w:b w:val="false"/>
          <w:color w:val="000000"/>
          <w:sz w:val="20"/>
          <w:shd w:fill="FFFFFF" w:val="clear"/>
        </w:rPr>
        <w:t>we do not have any interest rate swaps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Values of Derivatives on the Condensed Consolidated Balance Sheets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fair value of our derivative and its location on the Condensed Consolidated Balance Sheets as of December 31, 2025 was as follows:</w:t>
      </w:r>
    </w:p>
    <w:p>
      <w:pPr>
        <w:pStyle w:val="TextBody"/>
        <w:bidi w:val="0"/>
        <w:spacing w:lineRule="auto" w:line="288" w:before="0" w:after="0"/>
        <w:jc w:val="left"/>
        <w:rPr>
          <w:color w:val="000000"/>
        </w:rPr>
      </w:pPr>
      <w:r>
        <w:rPr>
          <w:color w:val="000000"/>
        </w:rPr>
        <w:t>    </w:t>
      </w:r>
    </w:p>
    <w:tbl>
      <w:tblPr>
        <w:tblW w:w="7954" w:type="dxa"/>
        <w:jc w:val="center"/>
        <w:tblInd w:w="0" w:type="dxa"/>
        <w:tblLayout w:type="fixed"/>
        <w:tblCellMar>
          <w:top w:w="28" w:type="dxa"/>
          <w:left w:w="28" w:type="dxa"/>
          <w:bottom w:w="28" w:type="dxa"/>
          <w:right w:w="28" w:type="dxa"/>
        </w:tblCellMar>
      </w:tblPr>
      <w:tblGrid>
        <w:gridCol w:w="1334"/>
        <w:gridCol w:w="1172"/>
        <w:gridCol w:w="1183"/>
        <w:gridCol w:w="639"/>
        <w:gridCol w:w="639"/>
        <w:gridCol w:w="642"/>
        <w:gridCol w:w="196"/>
        <w:gridCol w:w="376"/>
        <w:gridCol w:w="109"/>
        <w:gridCol w:w="109"/>
        <w:gridCol w:w="109"/>
        <w:gridCol w:w="109"/>
        <w:gridCol w:w="235"/>
        <w:gridCol w:w="488"/>
        <w:gridCol w:w="133"/>
        <w:gridCol w:w="109"/>
        <w:gridCol w:w="109"/>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current liabilities </w:t>
            </w:r>
            <w:r>
              <w:rPr>
                <w:rFonts w:ascii="Times New Roman;serif" w:hAnsi="Times New Roman;serif"/>
                <w:b w:val="false"/>
                <w:color w:val="000000"/>
                <w:sz w:val="12"/>
              </w:rPr>
              <w:t>(1)</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20"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    The entire balance is comprised of the financing component of the pay-fixed interest rate swap.</w:t>
      </w:r>
    </w:p>
    <w:p>
      <w:pPr>
        <w:pStyle w:val="TextBody"/>
        <w:bidi w:val="0"/>
        <w:spacing w:before="0" w:after="0"/>
        <w:ind w:left="0" w:right="0" w:hanging="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- 20 -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financial statement presentation purposes, we do not offset assets and liabilities under master netting arrangements and all amounts above are presented on a gross basis. The following table, however, is presented on a net asset and net liability basis:</w:t>
      </w:r>
    </w:p>
    <w:p>
      <w:pPr>
        <w:pStyle w:val="TextBody"/>
        <w:bidi w:val="0"/>
        <w:spacing w:before="0" w:after="0"/>
        <w:ind w:left="0" w:right="0" w:firstLine="540"/>
        <w:jc w:val="left"/>
        <w:rPr/>
      </w:pPr>
      <w:r>
        <w:rPr/>
      </w:r>
    </w:p>
    <w:tbl>
      <w:tblPr>
        <w:tblW w:w="9151" w:type="dxa"/>
        <w:jc w:val="center"/>
        <w:tblInd w:w="0" w:type="dxa"/>
        <w:tblLayout w:type="fixed"/>
        <w:tblCellMar>
          <w:top w:w="28" w:type="dxa"/>
          <w:left w:w="28" w:type="dxa"/>
          <w:bottom w:w="28" w:type="dxa"/>
          <w:right w:w="28" w:type="dxa"/>
        </w:tblCellMar>
      </w:tblPr>
      <w:tblGrid>
        <w:gridCol w:w="522"/>
        <w:gridCol w:w="458"/>
        <w:gridCol w:w="459"/>
        <w:gridCol w:w="766"/>
        <w:gridCol w:w="1474"/>
        <w:gridCol w:w="430"/>
        <w:gridCol w:w="109"/>
        <w:gridCol w:w="109"/>
        <w:gridCol w:w="109"/>
        <w:gridCol w:w="716"/>
        <w:gridCol w:w="1431"/>
        <w:gridCol w:w="403"/>
        <w:gridCol w:w="109"/>
        <w:gridCol w:w="109"/>
        <w:gridCol w:w="109"/>
        <w:gridCol w:w="313"/>
        <w:gridCol w:w="650"/>
        <w:gridCol w:w="176"/>
        <w:gridCol w:w="109"/>
        <w:gridCol w:w="109"/>
        <w:gridCol w:w="109"/>
        <w:gridCol w:w="109"/>
        <w:gridCol w:w="109"/>
        <w:gridCol w:w="154"/>
      </w:tblGrid>
      <w:tr>
        <w:trPr/>
        <w:tc>
          <w:tcPr>
            <w:tcW w:w="52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Amounts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Effects of Counterparty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Net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26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2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Effect of Derivatives on the Condensed Consolidated Statements of Comprehensive Loss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effect of our derivative and its location on the Condensed Consolidated Statements of Comprehensive Loss for the three months ended March 31, 2025 and 2026 was as follows: </w:t>
      </w:r>
    </w:p>
    <w:p>
      <w:pPr>
        <w:pStyle w:val="TextBody"/>
        <w:bidi w:val="0"/>
        <w:spacing w:before="0" w:after="0"/>
        <w:ind w:left="0" w:right="0" w:firstLine="540"/>
        <w:jc w:val="left"/>
        <w:rPr/>
      </w:pPr>
      <w:r>
        <w:rPr/>
      </w:r>
    </w:p>
    <w:tbl>
      <w:tblPr>
        <w:tblW w:w="8668" w:type="dxa"/>
        <w:jc w:val="left"/>
        <w:tblInd w:w="0" w:type="dxa"/>
        <w:tblLayout w:type="fixed"/>
        <w:tblCellMar>
          <w:top w:w="28" w:type="dxa"/>
          <w:left w:w="28" w:type="dxa"/>
          <w:bottom w:w="28" w:type="dxa"/>
          <w:right w:w="28" w:type="dxa"/>
        </w:tblCellMar>
      </w:tblPr>
      <w:tblGrid>
        <w:gridCol w:w="1334"/>
        <w:gridCol w:w="1172"/>
        <w:gridCol w:w="1183"/>
        <w:gridCol w:w="639"/>
        <w:gridCol w:w="639"/>
        <w:gridCol w:w="641"/>
        <w:gridCol w:w="284"/>
        <w:gridCol w:w="676"/>
        <w:gridCol w:w="158"/>
        <w:gridCol w:w="158"/>
        <w:gridCol w:w="158"/>
        <w:gridCol w:w="158"/>
        <w:gridCol w:w="284"/>
        <w:gridCol w:w="545"/>
        <w:gridCol w:w="158"/>
        <w:gridCol w:w="109"/>
        <w:gridCol w:w="109"/>
        <w:gridCol w:w="109"/>
        <w:gridCol w:w="154"/>
      </w:tblGrid>
      <w:tr>
        <w:trPr/>
        <w:tc>
          <w:tcPr>
            <w:tcW w:w="133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474"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Derivatives designated as hedging instruments</w:t>
            </w:r>
          </w:p>
        </w:tc>
        <w:tc>
          <w:tcPr>
            <w:tcW w:w="1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Location</w:t>
            </w:r>
          </w:p>
        </w:tc>
        <w:tc>
          <w:tcPr>
            <w:tcW w:w="111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rate swaps</w:t>
            </w:r>
          </w:p>
        </w:tc>
        <w:tc>
          <w:tcPr>
            <w:tcW w:w="1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(expense)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See Note 12, "Accumulated Other Comprehensive Income (Loss)," for information regarding changes in fair value of our derivatives designated as hedging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- 21 -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12. Accumulated Other Comprehensive Income (Loss)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Accumulated other comprehensive income (loss) consisted of the following: </w:t>
      </w:r>
    </w:p>
    <w:tbl>
      <w:tblPr>
        <w:tblW w:w="10205" w:type="dxa"/>
        <w:jc w:val="center"/>
        <w:tblInd w:w="0" w:type="dxa"/>
        <w:tblLayout w:type="fixed"/>
        <w:tblCellMar>
          <w:top w:w="28" w:type="dxa"/>
          <w:left w:w="28" w:type="dxa"/>
          <w:bottom w:w="28" w:type="dxa"/>
          <w:right w:w="28" w:type="dxa"/>
        </w:tblCellMar>
      </w:tblPr>
      <w:tblGrid>
        <w:gridCol w:w="1392"/>
        <w:gridCol w:w="1040"/>
        <w:gridCol w:w="979"/>
        <w:gridCol w:w="552"/>
        <w:gridCol w:w="1359"/>
        <w:gridCol w:w="309"/>
        <w:gridCol w:w="109"/>
        <w:gridCol w:w="109"/>
        <w:gridCol w:w="109"/>
        <w:gridCol w:w="473"/>
        <w:gridCol w:w="1126"/>
        <w:gridCol w:w="265"/>
        <w:gridCol w:w="109"/>
        <w:gridCol w:w="109"/>
        <w:gridCol w:w="109"/>
        <w:gridCol w:w="491"/>
        <w:gridCol w:w="1170"/>
        <w:gridCol w:w="395"/>
      </w:tblGrid>
      <w:tr>
        <w:trPr/>
        <w:tc>
          <w:tcPr>
            <w:tcW w:w="139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34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$0.6</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Unrealized loss on derivative contracts, net of tax benefit of $0.1</w:t>
            </w:r>
          </w:p>
        </w:tc>
        <w:tc>
          <w:tcPr>
            <w:tcW w:w="1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$2.9 </w:t>
            </w:r>
            <w:r>
              <w:rPr>
                <w:rFonts w:ascii="Times New Roman;serif" w:hAnsi="Times New Roman;serif"/>
                <w:b w:val="false"/>
                <w:color w:val="000000"/>
                <w:sz w:val="12"/>
              </w:rPr>
              <w:t>(1)</w:t>
            </w:r>
          </w:p>
        </w:tc>
        <w:tc>
          <w:tcPr>
            <w:tcW w:w="1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5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$11.4 million related to the cash flow hedge gain for the three months ended March 31, 2025.</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67"/>
        <w:gridCol w:w="1015"/>
        <w:gridCol w:w="953"/>
        <w:gridCol w:w="615"/>
        <w:gridCol w:w="1226"/>
        <w:gridCol w:w="343"/>
        <w:gridCol w:w="109"/>
        <w:gridCol w:w="109"/>
        <w:gridCol w:w="109"/>
        <w:gridCol w:w="506"/>
        <w:gridCol w:w="1048"/>
        <w:gridCol w:w="284"/>
        <w:gridCol w:w="109"/>
        <w:gridCol w:w="109"/>
        <w:gridCol w:w="109"/>
        <w:gridCol w:w="578"/>
        <w:gridCol w:w="1154"/>
        <w:gridCol w:w="462"/>
      </w:tblGrid>
      <w:tr>
        <w:trPr/>
        <w:tc>
          <w:tcPr>
            <w:tcW w:w="136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3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2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 Foreign Currency Translation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Gain on Derivative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Other Comprehensive Income (Loss)</w:t>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December 31, 2025</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4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 net of tax expense of $2.4</w:t>
            </w:r>
          </w:p>
        </w:tc>
        <w:tc>
          <w:tcPr>
            <w:tcW w:w="1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4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vAlign w:val="center"/>
          </w:tcPr>
          <w:p>
            <w:pPr>
              <w:pStyle w:val="TableContents"/>
              <w:bidi w:val="0"/>
              <w:spacing w:before="0" w:after="283"/>
              <w:jc w:val="left"/>
              <w:rPr>
                <w:sz w:val="4"/>
                <w:szCs w:val="4"/>
              </w:rPr>
            </w:pPr>
            <w:r>
              <w:rPr>
                <w:sz w:val="4"/>
                <w:szCs w:val="4"/>
              </w:rPr>
            </w:r>
          </w:p>
        </w:tc>
        <w:tc>
          <w:tcPr>
            <w:tcW w:w="2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94" w:type="dxa"/>
            <w:gridSpan w:val="3"/>
            <w:tcBorders/>
            <w:vAlign w:val="center"/>
          </w:tcPr>
          <w:p>
            <w:pPr>
              <w:pStyle w:val="TableContents"/>
              <w:bidi w:val="0"/>
              <w:spacing w:before="0" w:after="283"/>
              <w:jc w:val="left"/>
              <w:rPr>
                <w:sz w:val="4"/>
                <w:szCs w:val="4"/>
              </w:rPr>
            </w:pPr>
            <w:r>
              <w:rPr>
                <w:sz w:val="4"/>
                <w:szCs w:val="4"/>
              </w:rPr>
            </w:r>
          </w:p>
        </w:tc>
      </w:tr>
      <w:tr>
        <w:trPr/>
        <w:tc>
          <w:tcPr>
            <w:tcW w:w="3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Amount reclassified from Accumulated comprehensive income (loss) into earnings, net of tax expense of $1.5 </w:t>
            </w:r>
            <w:r>
              <w:rPr>
                <w:rFonts w:ascii="Times New Roman;serif" w:hAnsi="Times New Roman;serif"/>
                <w:b w:val="false"/>
                <w:color w:val="000000"/>
                <w:sz w:val="12"/>
              </w:rPr>
              <w:t>(1)</w:t>
            </w:r>
          </w:p>
        </w:tc>
        <w:tc>
          <w:tcPr>
            <w:tcW w:w="1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4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6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4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    Includes a reduction to interest expense recognized of $4.0 million related to the cash flow hedge gain for the three months ended March 31, 2026.</w:t>
      </w:r>
    </w:p>
    <w:tbl>
      <w:tblPr>
        <w:tblW w:w="2022"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- 22 -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Segment Reporting</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have organized our operations into two operating segments, which correspond directly to our reportable segments: Public Cloud, a services-centric, capital-light model providing value-added cloud solutions through managed services, Elastic Engineering and professional services offerings for customer environments hosted on the Amazon Web Services (“AWS”), Microsoft Azure and Google Cloud public cloud platforms; and Private Cloud, a technology-forward, capital-intensive model providing managed service offerings for customer environments hosted in one of our data centers as well as in those owned by customers or by third parties such as colocation providers.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This two-business unit operating model allows for each segment to be managed separately based on the different service offerings and respective operational and marketing strategies, ensuring increased focus, delivery, and service quality for our customers.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segments are based upon a number of factors, including, the basis for our budgets and forecasts, organizational and management structure and the financial information regularly provided to our Chief Operating Decision Maker (“CODM”), who we have determined to be our Chief Executive Officer. The CODM is responsible for making key operating and strategic decisions to assess performance for each segment. We assess financial performance of our segments on the basis of revenue and segment operating profit. The CODM utilizes both revenue and segment operating profit or loss before interest and income taxes to allocate resources and assesses performance of each segment by comparing actual revenue and operating profit or loss results, respectively, to historical results and previously forecasted financial information. Segment operating profit includes expenses directly attributable to running the respective segments' business. This excludes any corporate overhead expenses. We have centralized corporate functions that provide services to the segments in areas such as accounting, information technology, marketing, legal and human resources. Corporate function costs that are not allocated to the segments are included in the row labeled "Corporate functions" in the table below. </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- 23 -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revenue and segment operating profit by reportable segment and a reconciliation of consolidated segment operating profit to consolidated income (loss) before income taxes for the three months ended March 31, 2025 and 2026. </w:t>
      </w:r>
    </w:p>
    <w:tbl>
      <w:tblPr>
        <w:tblW w:w="6927" w:type="dxa"/>
        <w:jc w:val="center"/>
        <w:tblInd w:w="0" w:type="dxa"/>
        <w:tblLayout w:type="fixed"/>
        <w:tblCellMar>
          <w:top w:w="28" w:type="dxa"/>
          <w:left w:w="28" w:type="dxa"/>
          <w:bottom w:w="28" w:type="dxa"/>
          <w:right w:w="28" w:type="dxa"/>
        </w:tblCellMar>
      </w:tblPr>
      <w:tblGrid>
        <w:gridCol w:w="1537"/>
        <w:gridCol w:w="1165"/>
        <w:gridCol w:w="1167"/>
        <w:gridCol w:w="246"/>
        <w:gridCol w:w="700"/>
        <w:gridCol w:w="137"/>
        <w:gridCol w:w="137"/>
        <w:gridCol w:w="137"/>
        <w:gridCol w:w="137"/>
        <w:gridCol w:w="246"/>
        <w:gridCol w:w="700"/>
        <w:gridCol w:w="137"/>
        <w:gridCol w:w="109"/>
        <w:gridCol w:w="109"/>
        <w:gridCol w:w="109"/>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Public Cloud</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Third party infrastructure </w:t>
            </w:r>
            <w:r>
              <w:rPr>
                <w:rFonts w:ascii="Times New Roman;serif" w:hAnsi="Times New Roman;serif"/>
                <w:b w:val="false"/>
                <w:color w:val="000000"/>
                <w:sz w:val="12"/>
              </w:rPr>
              <w:t>(1)</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cost of revenue </w:t>
            </w:r>
            <w:r>
              <w:rPr>
                <w:rFonts w:ascii="Times New Roman;serif" w:hAnsi="Times New Roman;serif"/>
                <w:b w:val="false"/>
                <w:color w:val="000000"/>
                <w:sz w:val="12"/>
              </w:rPr>
              <w:t>(2)</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Private Cloud</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(3)</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Total Consolidated</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Segment operating profit</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(4)</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(5)</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(6)</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investments,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income (loss) before income taxes</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24"/>
        <w:gridCol w:w="2874"/>
        <w:gridCol w:w="40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4"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40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Represents usage charges from public cloud infrastructure providers.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cost of revenue excludes third party infrastructure expenses and is comprised of certain license costs, labor, and other designated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 segment items for each segment include directly allocable research and development expenses, sales and marketing expenses, and certain other general and administrative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- 24 -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presents depreciation expense included in segment operating profit above for the three months ended March 31, 2025 and 2026. </w:t>
      </w:r>
    </w:p>
    <w:p>
      <w:pPr>
        <w:pStyle w:val="TextBody"/>
        <w:bidi w:val="0"/>
        <w:spacing w:before="0" w:after="0"/>
        <w:ind w:left="0" w:right="0" w:firstLine="540"/>
        <w:jc w:val="left"/>
        <w:rPr/>
      </w:pPr>
      <w:r>
        <w:rPr/>
      </w:r>
    </w:p>
    <w:tbl>
      <w:tblPr>
        <w:tblW w:w="5292" w:type="dxa"/>
        <w:jc w:val="left"/>
        <w:tblInd w:w="0" w:type="dxa"/>
        <w:tblLayout w:type="fixed"/>
        <w:tblCellMar>
          <w:top w:w="28" w:type="dxa"/>
          <w:left w:w="28" w:type="dxa"/>
          <w:bottom w:w="28" w:type="dxa"/>
          <w:right w:w="28" w:type="dxa"/>
        </w:tblCellMar>
      </w:tblPr>
      <w:tblGrid>
        <w:gridCol w:w="811"/>
        <w:gridCol w:w="711"/>
        <w:gridCol w:w="713"/>
        <w:gridCol w:w="270"/>
        <w:gridCol w:w="643"/>
        <w:gridCol w:w="150"/>
        <w:gridCol w:w="150"/>
        <w:gridCol w:w="150"/>
        <w:gridCol w:w="150"/>
        <w:gridCol w:w="270"/>
        <w:gridCol w:w="643"/>
        <w:gridCol w:w="150"/>
        <w:gridCol w:w="109"/>
        <w:gridCol w:w="109"/>
        <w:gridCol w:w="109"/>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Total depreciation expense</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54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Management does not use total assets by segment to evaluate segment performance or allocate resources. As such, total assets by segment are not disclosed.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- 25 -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2 - MANAGEMENT'S DISCUSSION AND ANALYSIS OF FINANCIAL CONDITION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RESULTS OF OPERATIONS</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The following Management</w:t>
      </w:r>
      <w:r>
        <w:rPr>
          <w:rFonts w:ascii="Times New Roman;serif" w:hAnsi="Times New Roman;serif"/>
          <w:b w:val="false"/>
          <w:color w:val="000000"/>
          <w:sz w:val="20"/>
        </w:rPr>
        <w:t>'</w:t>
      </w:r>
      <w:r>
        <w:rPr>
          <w:rFonts w:ascii="Times New Roman;serif" w:hAnsi="Times New Roman;serif"/>
          <w:b w:val="false"/>
          <w:i/>
          <w:color w:val="000000"/>
          <w:sz w:val="20"/>
        </w:rPr>
        <w:t>s Discussion and Analysis of Financial Condition and Results of Operations (</w:t>
      </w:r>
      <w:r>
        <w:rPr>
          <w:rFonts w:ascii="Times New Roman;serif" w:hAnsi="Times New Roman;serif"/>
          <w:b w:val="false"/>
          <w:color w:val="000000"/>
          <w:sz w:val="20"/>
        </w:rPr>
        <w:t>"</w:t>
      </w:r>
      <w:r>
        <w:rPr>
          <w:rFonts w:ascii="Times New Roman;serif" w:hAnsi="Times New Roman;serif"/>
          <w:b w:val="false"/>
          <w:i/>
          <w:color w:val="000000"/>
          <w:sz w:val="20"/>
        </w:rPr>
        <w:t>MD&amp;A</w:t>
      </w:r>
      <w:r>
        <w:rPr>
          <w:rFonts w:ascii="Times New Roman;serif" w:hAnsi="Times New Roman;serif"/>
          <w:b w:val="false"/>
          <w:color w:val="000000"/>
          <w:sz w:val="20"/>
        </w:rPr>
        <w:t>"</w:t>
      </w:r>
      <w:r>
        <w:rPr>
          <w:rFonts w:ascii="Times New Roman;serif" w:hAnsi="Times New Roman;serif"/>
          <w:b w:val="false"/>
          <w:i/>
          <w:color w:val="000000"/>
          <w:sz w:val="20"/>
        </w:rPr>
        <w:t xml:space="preserve">) is intended to help readers understand our results of operations, financial condition and cash flows and should be read in conjunction with the condensed consolidated financial statements and the related notes included elsewhere in this Quarterly Report on Form 10-Q (this "Quarterly Report") and with the audited consolidated financial statements and the related notes included in our Annual Report. References to </w:t>
      </w:r>
      <w:r>
        <w:rPr>
          <w:rFonts w:ascii="Times New Roman;serif" w:hAnsi="Times New Roman;serif"/>
          <w:b w:val="false"/>
          <w:color w:val="000000"/>
          <w:sz w:val="20"/>
        </w:rPr>
        <w:t>"</w:t>
      </w:r>
      <w:r>
        <w:rPr>
          <w:rFonts w:ascii="Times New Roman;serif" w:hAnsi="Times New Roman;serif"/>
          <w:b w:val="false"/>
          <w:i/>
          <w:color w:val="000000"/>
          <w:sz w:val="20"/>
        </w:rPr>
        <w:t>Rackspace Technology,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we,</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our company,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the company,</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w:t>
      </w:r>
      <w:r>
        <w:rPr>
          <w:rFonts w:ascii="Times New Roman;serif" w:hAnsi="Times New Roman;serif"/>
          <w:b w:val="false"/>
          <w:i/>
          <w:color w:val="000000"/>
          <w:sz w:val="20"/>
        </w:rPr>
        <w:t>us,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or </w:t>
      </w:r>
      <w:r>
        <w:rPr>
          <w:rFonts w:ascii="Times New Roman;serif" w:hAnsi="Times New Roman;serif"/>
          <w:b w:val="false"/>
          <w:color w:val="000000"/>
          <w:sz w:val="20"/>
        </w:rPr>
        <w:t>"</w:t>
      </w:r>
      <w:r>
        <w:rPr>
          <w:rFonts w:ascii="Times New Roman;serif" w:hAnsi="Times New Roman;serif"/>
          <w:b w:val="false"/>
          <w:i/>
          <w:color w:val="000000"/>
          <w:sz w:val="20"/>
        </w:rPr>
        <w:t>our</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refer to Rackspace Technology, Inc. and its consolidated subsidiaries.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rPr>
        <w:t xml:space="preserve">The following discussion contains forward-looking statements that are subject to risks and uncertainties. Actual results may differ materially from those contained in any forward-looking statements. See </w:t>
      </w:r>
      <w:r>
        <w:rPr>
          <w:rFonts w:ascii="Times New Roman;serif" w:hAnsi="Times New Roman;serif"/>
          <w:b w:val="false"/>
          <w:color w:val="000000"/>
          <w:sz w:val="20"/>
        </w:rPr>
        <w:t>"</w:t>
      </w:r>
      <w:r>
        <w:rPr>
          <w:rFonts w:ascii="Times New Roman;serif" w:hAnsi="Times New Roman;serif"/>
          <w:b w:val="false"/>
          <w:i/>
          <w:color w:val="000000"/>
          <w:sz w:val="20"/>
        </w:rPr>
        <w:t>Special Note Regarding Forward-Looking Statements</w:t>
      </w:r>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 xml:space="preserve">contained elsewhere in this Quarterly Report.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end-to-end hybrid cloud and AI solutions company. We design, build and operate our customers' cloud environments across all major technology platforms, irrespective of technology stack or deployment model. We partner with our customers at every stage of their cloud journey, enabling them to modernize applications, build new products, and adopt innovative technologies.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operate our business and report our results through two reportable segments: Public Cloud and Private Cloud. </w:t>
      </w:r>
      <w:r>
        <w:rPr>
          <w:rFonts w:ascii="Times New Roman;serif" w:hAnsi="Times New Roman;serif"/>
          <w:b w:val="false"/>
          <w:color w:val="000000"/>
          <w:sz w:val="20"/>
          <w:shd w:fill="FFFFFF" w:val="clear"/>
        </w:rPr>
        <w:t>Our Public Cloud segment is a services-centric, capital-light model providing value-added cloud solutions through</w:t>
      </w:r>
      <w:r>
        <w:rPr>
          <w:color w:val="000000"/>
        </w:rPr>
        <w:t xml:space="preserve"> </w:t>
      </w:r>
      <w:r>
        <w:rPr>
          <w:rFonts w:ascii="Times New Roman;serif" w:hAnsi="Times New Roman;serif"/>
          <w:b w:val="false"/>
          <w:color w:val="000000"/>
          <w:sz w:val="20"/>
        </w:rPr>
        <w:t>managed services, Elastic Engineering and professional services offerings for customer environments hosted on the AWS, Microsoft Azure and Google Cloud public cloud platforms</w:t>
      </w:r>
      <w:r>
        <w:rPr>
          <w:rFonts w:ascii="Times New Roman;serif" w:hAnsi="Times New Roman;serif"/>
          <w:b w:val="false"/>
          <w:color w:val="000000"/>
          <w:sz w:val="20"/>
          <w:shd w:fill="FFFFFF" w:val="clear"/>
        </w:rPr>
        <w:t xml:space="preserve">. Our Private Cloud segment is a technology-forward, capital-intensive model providing </w:t>
      </w:r>
      <w:r>
        <w:rPr>
          <w:rFonts w:ascii="Times New Roman;serif" w:hAnsi="Times New Roman;serif"/>
          <w:b w:val="false"/>
          <w:color w:val="000000"/>
          <w:sz w:val="20"/>
        </w:rPr>
        <w:t xml:space="preserve">managed service offerings for customer environments hosted in one of our data centers as well as in those owned by customers or by third parties such as colocation providers. </w:t>
      </w:r>
      <w:r>
        <w:rPr>
          <w:rFonts w:ascii="Times New Roman;serif" w:hAnsi="Times New Roman;serif"/>
          <w:b w:val="false"/>
          <w:color w:val="000000"/>
          <w:sz w:val="20"/>
          <w:shd w:fill="FFFFFF" w:val="clear"/>
        </w:rPr>
        <w:t xml:space="preserve">See Item 1 of Part I, Financial Statements - Note 13, "Segment Reporting," for additional information about our segments.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- 26 -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our combination of proprietary technology, automation capabilities and technical expertise creates a value proposition for our customers that is hard to replicate for both competitors and in-house IT departments. We and our customers face a variety of challenges, including evolving technologies (including AI and GenAI) and an uncertain regulatory landscape, including international trade policies and tariffs, as well as other macroeconomic and geopolitical factors. These factors have and will continue to affect demand for our products and services. Our continued success depends to a significant extent on our ability to respond to these and other challenges presented by our highly competitive and dynamic market, including the following key factors: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Differentiating Our Service Offerings in a Competitive Market Environment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success depends to a significant extent on our ability to continue to differentiate, expand and upgrade our service offerings in line with developing customer needs, while deepening our relationships with leading public cloud service providers and establishing new relationships, including with sales partners. We are a certified premier consulting and managed services partner to some of the largest cloud computing platforms, including AWS, Microsoft Azure, Google Cloud, Oracle, SAP and VMware by Broadcom. We believe we are unique in our ability to serve customers across major technology stacks and deployment options, all while delivering Fanatical Experience. Our existing and prospective customers are also under increasing pressure to move from on-premise or self-managed IT to the cloud to compete effectively in a digital economy and maximize the value of their cloud investments, which we believe presents an opportunity for professional services projects as well as</w:t>
      </w:r>
      <w:r>
        <w:rPr>
          <w:color w:val="000000"/>
          <w:shd w:fill="FFFFFF" w:val="clear"/>
        </w:rPr>
        <w:t xml:space="preserve"> </w:t>
      </w:r>
      <w:r>
        <w:rPr>
          <w:rFonts w:ascii="Times New Roman;serif" w:hAnsi="Times New Roman;serif"/>
          <w:b w:val="false"/>
          <w:color w:val="000000"/>
          <w:sz w:val="20"/>
          <w:shd w:fill="FFFFFF" w:val="clear"/>
        </w:rPr>
        <w:t xml:space="preserve">new recurring business.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Customer Relationships and Retention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greatly depends on our ability to retain and develop opportunities with our existing customers and to attract new customers. We operate in a growing but competitive and evolving market environment, requiring innovation to differentiate us from our competitors. We believe that our integrated cloud service portfolio and our differentiated customer experience and technology are keys to retaining and growing revenue from existing customers as well as acquiring new customers. For example, we believe that Rackspace Fabric provides customers a unified experience across their entire cloud and security footprint, and that our Rackspace Elastic Engineering model helps customers embrace a cloud native approach with on-demand access to a dedicated team of highly skilled cloud architects and engineers. These offerings differentiate us from legacy IT service providers that operate under long-term fixed and project-based fee structures often tethered to their existing technologies with less automation.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Mix Shift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mix of revenue has shifted in recent years, from our Private Cloud offerings to infrastructure resale and services within Public Cloud. Private Cloud offerings are generally hosted on our own infrastructure and deliver higher segment operating margins, but also require a higher level of capital expenditures. Conversely, Public Cloud segment operating margins are lower, driven by high volumes of infrastructure resale revenue which come at significantly lower margins. However, Public Cloud requires significantly less capital expenditures. Going forward, we will continue to take a workload-centric approach and both Public and Private Cloud will be the net recipients of the workloads. The focus in Private Cloud will be to defend and expand our revenue with new solutions. The focus in Public Cloud is on expanding segment operating margins by driving cost efficiencies and growing higher-margin services revenue.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- 27 -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Key Components of Statement of Operations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 substantial amount of our revenue, particularly within our Private Cloud segment, is generated pursuant to contracts that typically have a fixed term (typically from 12 to 36 months). Our customers generally have the right to cancel their contracts by providing us with written notice prior to the end of the fixed term, though most of our contracts provide for termination fees in the event of cancellation prior to the end of their term, typically amounting to the outstanding value of the contract. These contracts include a monthly recurring fee, which is determined based on the computing resources utilized and provided to the customer, the complexity of the underlying infrastructure and the level of support we provide. Most of our services within our Public Cloud segment generate usage-based revenue invoiced on a monthly basis and can be canceled at any time without penalty. We also generate revenue from usage-based fees and fees from professional services earned from customers using our hosting and other services. We typically recognize revenue on a daily basis, as services are provided, in an amount that reflects the consideration to which we expect to be entitled in exchange for our services. Our usage-based arrangements generally include a variable consideration component, consisting of monthly utility fees, with a defined price and undefined quantity. Our customer contracts also typically contain service level guarantees, including with respect to network uptime requirements, that provide discounts when we fail to meet specific obligations and, with respect to certain products, we may offer volume discounts based on usage. As these variable consideration components consist of a single distinct daily service provided on a single performance obligation, we account for all of them as services are provided and earned.</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 xml:space="preserve">Cost of revenue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primarily of usage charges for third-party infrastructure and personnel costs (including salaries, bonuses, benefits and share-based compensation) for engineers, developers and other employees involved in the delivery of services to our customers. Cost of revenue also includes depreciation of servers, software and other systems infrastructure, data center rent and other infrastructure maintenance and support costs, including software license costs and utilities. Cost of revenue is driven mainly by demand for our services, our service mix and the cost of labor in a given geography.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 (SG&amp;A)</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consist primarily of personnel costs (including salaries, bonuses, commissions, benefits and share-based compensation) for our sales force, executive team and corporate administrative and support employees, including our human resources, finance, accounting and legal functions. SG&amp;A also includes research and development costs, repair and maintenance of corporate infrastructure, facilities rent, third-party advisory fees (including audit, legal and management consulting costs), marketing and advertising costs and insurance, as well as the amortization of related intangible assets and certain depreciation of fixed assets.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SG&amp;A also includes transaction costs related to acquisitions and financings along with costs related to integration and business transformation initiatives which may impact the comparability of SG&amp;A between periods.</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income tax benefit (provision) and deferred tax assets and liabilities reflect management's best assessment of estimated current and future taxes to be paid. To date, we recorded consolidated tax expense, despite our net losses, due to the recording of valuation allowances against our deferred tax assets. Certain of our non-U.S. subsidiaries continue to incur corporate tax expense or benefit according to the relevant taxing jurisdictions. We are under certain domestic and foreign tax audits. Due to the complexity involved with certain tax matters, there is the possibility that the various taxing authorities may disagree with certain tax positions filed on our income tax returns. We believe we have made adequate provision for all uncertain tax positions. See Item 1 of Part I, Financial Statements - Note 10, "</w:t>
      </w:r>
      <w:r>
        <w:rPr>
          <w:rFonts w:ascii="Times New Roman;serif" w:hAnsi="Times New Roman;serif"/>
          <w:b w:val="false"/>
          <w:color w:val="000000"/>
          <w:sz w:val="20"/>
          <w:shd w:fill="FFFFFF" w:val="clear"/>
        </w:rPr>
        <w:t>Taxes</w:t>
      </w:r>
      <w:r>
        <w:rPr>
          <w:rFonts w:ascii="Times New Roman;serif" w:hAnsi="Times New Roman;serif"/>
          <w:b w:val="false"/>
          <w:color w:val="000000"/>
          <w:sz w:val="20"/>
        </w:rPr>
        <w: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- 28 -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discuss our historical results of operations, and the key components of those results, below. Past financial results are not necessarily indicative of future results.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Three Months Ended March 31, 2025 Compared to Three Months Ended March 31, 2026</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results of operations for the specified periods, as well as changes between periods and as a percentage of revenue for those same periods (totals in table may not foot due to rounding):</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992"/>
        <w:gridCol w:w="729"/>
        <w:gridCol w:w="723"/>
        <w:gridCol w:w="196"/>
        <w:gridCol w:w="556"/>
        <w:gridCol w:w="109"/>
        <w:gridCol w:w="109"/>
        <w:gridCol w:w="109"/>
        <w:gridCol w:w="109"/>
        <w:gridCol w:w="278"/>
        <w:gridCol w:w="278"/>
        <w:gridCol w:w="537"/>
        <w:gridCol w:w="109"/>
        <w:gridCol w:w="109"/>
        <w:gridCol w:w="109"/>
        <w:gridCol w:w="196"/>
        <w:gridCol w:w="556"/>
        <w:gridCol w:w="109"/>
        <w:gridCol w:w="109"/>
        <w:gridCol w:w="109"/>
        <w:gridCol w:w="109"/>
        <w:gridCol w:w="278"/>
        <w:gridCol w:w="278"/>
        <w:gridCol w:w="537"/>
        <w:gridCol w:w="109"/>
        <w:gridCol w:w="109"/>
        <w:gridCol w:w="109"/>
        <w:gridCol w:w="253"/>
        <w:gridCol w:w="603"/>
        <w:gridCol w:w="140"/>
        <w:gridCol w:w="140"/>
        <w:gridCol w:w="140"/>
        <w:gridCol w:w="140"/>
        <w:gridCol w:w="277"/>
        <w:gridCol w:w="279"/>
        <w:gridCol w:w="573"/>
      </w:tblGrid>
      <w:tr>
        <w:trPr/>
        <w:tc>
          <w:tcPr>
            <w:tcW w:w="992"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(82.4)</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on investments,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income (expense)</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5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0.0 </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5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 xml:space="preserve">NM </w:t>
            </w:r>
          </w:p>
        </w:tc>
      </w:tr>
    </w:tbl>
    <w:p>
      <w:pPr>
        <w:pStyle w:val="TextBody"/>
        <w:bidi w:val="0"/>
        <w:spacing w:lineRule="auto" w:line="288" w:before="100" w:after="283"/>
        <w:jc w:val="left"/>
        <w:rPr>
          <w:rFonts w:ascii="Times New Roman;serif" w:hAnsi="Times New Roman;serif"/>
          <w:b w:val="false"/>
          <w:color w:val="000000"/>
          <w:sz w:val="20"/>
        </w:rPr>
      </w:pPr>
      <w:r>
        <w:rPr>
          <w:rFonts w:ascii="Times New Roman;serif" w:hAnsi="Times New Roman;serif"/>
          <w:b w:val="false"/>
          <w:color w:val="000000"/>
          <w:sz w:val="20"/>
        </w:rPr>
        <w:t>NM = not meaningful.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Revenue increased $13 million, or 1.9%, to $678 million in the three months ended March 31, 2026 from $665 million in the three months ended March 31, 2025. Revenue growth was driven by Public Cloud, as discussed below.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After removing the impact of foreign currency fluctuations, on a constant currency basis, revenue increased 1.0% year-over-year. The following table presents revenue by segment:</w:t>
      </w:r>
    </w:p>
    <w:tbl>
      <w:tblPr>
        <w:tblW w:w="7569" w:type="dxa"/>
        <w:jc w:val="center"/>
        <w:tblInd w:w="0" w:type="dxa"/>
        <w:tblLayout w:type="fixed"/>
        <w:tblCellMar>
          <w:top w:w="28" w:type="dxa"/>
          <w:left w:w="28" w:type="dxa"/>
          <w:bottom w:w="28" w:type="dxa"/>
          <w:right w:w="28" w:type="dxa"/>
        </w:tblCellMar>
      </w:tblPr>
      <w:tblGrid>
        <w:gridCol w:w="619"/>
        <w:gridCol w:w="543"/>
        <w:gridCol w:w="548"/>
        <w:gridCol w:w="246"/>
        <w:gridCol w:w="700"/>
        <w:gridCol w:w="137"/>
        <w:gridCol w:w="137"/>
        <w:gridCol w:w="137"/>
        <w:gridCol w:w="137"/>
        <w:gridCol w:w="246"/>
        <w:gridCol w:w="700"/>
        <w:gridCol w:w="137"/>
        <w:gridCol w:w="109"/>
        <w:gridCol w:w="109"/>
        <w:gridCol w:w="109"/>
        <w:gridCol w:w="224"/>
        <w:gridCol w:w="226"/>
        <w:gridCol w:w="334"/>
        <w:gridCol w:w="109"/>
        <w:gridCol w:w="109"/>
        <w:gridCol w:w="109"/>
        <w:gridCol w:w="387"/>
        <w:gridCol w:w="387"/>
        <w:gridCol w:w="1070"/>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Constant Currency </w:t>
            </w:r>
            <w:r>
              <w:rPr>
                <w:rFonts w:ascii="Times New Roman;serif" w:hAnsi="Times New Roman;serif"/>
                <w:b/>
                <w:color w:val="000000"/>
                <w:sz w:val="12"/>
              </w:rPr>
              <w:t>(a)</w:t>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0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0" w:after="0"/>
        <w:ind w:left="0" w:right="0" w:hanging="540"/>
        <w:jc w:val="left"/>
        <w:rPr/>
      </w:pPr>
      <w:r>
        <w:rPr>
          <w:rFonts w:ascii="Times New Roman;serif" w:hAnsi="Times New Roman;serif"/>
          <w:b w:val="false"/>
          <w:color w:val="000000"/>
          <w:sz w:val="18"/>
        </w:rPr>
        <w:t>(a)     Refer to "</w:t>
      </w:r>
      <w:r>
        <w:rPr>
          <w:rFonts w:ascii="Times New Roman;serif" w:hAnsi="Times New Roman;serif"/>
          <w:b w:val="false"/>
          <w:i/>
          <w:color w:val="000000"/>
          <w:sz w:val="18"/>
        </w:rPr>
        <w:t>Non-GAAP Financial Measures</w:t>
      </w:r>
      <w:r>
        <w:rPr>
          <w:rFonts w:ascii="Times New Roman;serif" w:hAnsi="Times New Roman;serif"/>
          <w:b w:val="false"/>
          <w:color w:val="000000"/>
          <w:sz w:val="18"/>
        </w:rPr>
        <w:t xml:space="preserve">" in this section for further explanation and reconciliation. </w:t>
      </w:r>
    </w:p>
    <w:p>
      <w:pPr>
        <w:pStyle w:val="TextBody"/>
        <w:bidi w:val="0"/>
        <w:spacing w:before="0" w:after="0"/>
        <w:ind w:left="0" w:right="0" w:hanging="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- 29 -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Public Cloud revenue in the three months ended March 31, 2026 increased 6.7% on an actual basis and 6.1% on a constant currency basis, from the three months ended March 31, 2025. The increase was driven by both higher services revenue and increased infrastructure volumes.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revenue in the three months ended March 31, 2026 decreased 6.0% on an actual basis and 7.5% on a constant currency basis, from the three months ended March 31, 2025, reflecting customer transitions off legacy platforms, partially offset by revenue from new bookings.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increased $21 million, or 4%, to $559 million in the three months ended March 31, 2026 from $539 million in the three months ended March 31, 2025. The primary drivers of the increase include higher usage charges for third-party infrastructure, consistent with revenue growth, and higher depreciation expense. These increases were partially offset by lower license expense, due to a reduction in usage between periods, and a decrease in personnel costs driven by a reduction in non-equity incentive compensation and share-based compensation.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a percentage of revenue, cost of revenue increased 150 basis points in the three months ended March 31, 2026</w:t>
      </w:r>
      <w:r>
        <w:rPr>
          <w:color w:val="000000"/>
        </w:rPr>
        <w:t xml:space="preserve"> </w:t>
      </w:r>
      <w:r>
        <w:rPr>
          <w:rFonts w:ascii="Times New Roman;serif" w:hAnsi="Times New Roman;serif"/>
          <w:b w:val="false"/>
          <w:color w:val="000000"/>
          <w:sz w:val="20"/>
        </w:rPr>
        <w:t>to 82.4% from 80.9% in the three months ended March 31, 2025 for the reasons discussed above.</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Gross Profit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Our gross profit was $119 million in the three months ended March 31, 2026, a</w:t>
      </w:r>
      <w:r>
        <w:rPr>
          <w:color w:val="000000"/>
          <w:shd w:fill="FFFFFF" w:val="clear"/>
        </w:rPr>
        <w:t xml:space="preserve"> </w:t>
      </w:r>
      <w:r>
        <w:rPr>
          <w:rFonts w:ascii="Times New Roman;serif" w:hAnsi="Times New Roman;serif"/>
          <w:b w:val="false"/>
          <w:color w:val="000000"/>
          <w:sz w:val="20"/>
          <w:shd w:fill="FFFFFF" w:val="clear"/>
        </w:rPr>
        <w:t>decrease</w:t>
      </w:r>
      <w:r>
        <w:rPr>
          <w:color w:val="000000"/>
        </w:rPr>
        <w:t xml:space="preserve"> </w:t>
      </w:r>
      <w:r>
        <w:rPr>
          <w:rFonts w:ascii="Times New Roman;serif" w:hAnsi="Times New Roman;serif"/>
          <w:b w:val="false"/>
          <w:color w:val="000000"/>
          <w:sz w:val="20"/>
        </w:rPr>
        <w:t xml:space="preserve">of $8 million from $127 million in the three months ended March 31, 2025. Our gross margin was 17.6% in the three months ended March 31, 2026, a decrease of 150 basis points from 19.1% in the three months ended March 31, 2025.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Selling, General and Administrative Expenses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decreased $28 million, or 17%, to $137 million in the three months ended March 31, 2026 from $165 million in the three months ended March 31, 2025. Declining personnel costs had the largest impact due to a reduction in headcount between periods and a decrease in severance and share-based compensation expense. Also driving the overall reduction in selling, general and administrative expenses was a gain on disposal of non-core assets in the current period and a decrease in amortization expense as certain customer relationship intangible assets reached the end of their useful lives between periods.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As a percentage of revenue, selling, general and administrative expenses decreased 460 basis points, to 20.2% in the three months ended March 31, 2026 from 24.8% in the three months ended March 31, 2025 primarily due to personnel costs, as discussed above. </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Loss from Operations, Segment Operating Profit, and Non-GAAP Operating Profit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Our loss from operations was $18 million in the three months ended March 31, 2026 compared to $38 million in the three months ended March 31, 2025. Our Non-GAAP Operating Profit was $31 million in the three months ended March 31, 2026, an increase of $5 million from $26 million in the three months ended March 31, 2025. Non-GAAP Operating Profit is a non-GAAP financial measure. See "Non-GAAP Financial Measures" below for more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- 30 -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54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loss from operations to Non-GAAP Operating Profit.</w:t>
      </w:r>
    </w:p>
    <w:p>
      <w:pPr>
        <w:pStyle w:val="TextBody"/>
        <w:bidi w:val="0"/>
        <w:spacing w:before="0" w:after="0"/>
        <w:ind w:left="0" w:right="0" w:firstLine="540"/>
        <w:jc w:val="left"/>
        <w:rPr/>
      </w:pPr>
      <w:r>
        <w:rPr/>
      </w:r>
    </w:p>
    <w:tbl>
      <w:tblPr>
        <w:tblW w:w="5966" w:type="dxa"/>
        <w:jc w:val="left"/>
        <w:tblInd w:w="0" w:type="dxa"/>
        <w:tblLayout w:type="fixed"/>
        <w:tblCellMar>
          <w:top w:w="28" w:type="dxa"/>
          <w:left w:w="28" w:type="dxa"/>
          <w:bottom w:w="28" w:type="dxa"/>
          <w:right w:w="28" w:type="dxa"/>
        </w:tblCellMar>
      </w:tblPr>
      <w:tblGrid>
        <w:gridCol w:w="1213"/>
        <w:gridCol w:w="1064"/>
        <w:gridCol w:w="1068"/>
        <w:gridCol w:w="249"/>
        <w:gridCol w:w="688"/>
        <w:gridCol w:w="138"/>
        <w:gridCol w:w="138"/>
        <w:gridCol w:w="138"/>
        <w:gridCol w:w="138"/>
        <w:gridCol w:w="249"/>
        <w:gridCol w:w="688"/>
        <w:gridCol w:w="195"/>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(c)</w:t>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44"/>
        <w:gridCol w:w="2859"/>
        <w:gridCol w:w="406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4" w:type="dxa"/>
            <w:tcBorders/>
            <w:vAlign w:val="center"/>
          </w:tcPr>
          <w:p>
            <w:pPr>
              <w:pStyle w:val="TableContents"/>
              <w:bidi w:val="0"/>
              <w:spacing w:before="0" w:after="283"/>
              <w:jc w:val="left"/>
              <w:rPr>
                <w:sz w:val="4"/>
                <w:szCs w:val="4"/>
              </w:rPr>
            </w:pPr>
            <w:r>
              <w:rPr>
                <w:sz w:val="4"/>
                <w:szCs w:val="4"/>
              </w:rPr>
            </w:r>
          </w:p>
        </w:tc>
        <w:tc>
          <w:tcPr>
            <w:tcW w:w="2859" w:type="dxa"/>
            <w:tcBorders/>
            <w:vAlign w:val="center"/>
          </w:tcPr>
          <w:p>
            <w:pPr>
              <w:pStyle w:val="TableContents"/>
              <w:bidi w:val="0"/>
              <w:spacing w:before="0" w:after="283"/>
              <w:jc w:val="left"/>
              <w:rPr>
                <w:sz w:val="4"/>
                <w:szCs w:val="4"/>
              </w:rPr>
            </w:pPr>
            <w:r>
              <w:rPr>
                <w:sz w:val="4"/>
                <w:szCs w:val="4"/>
              </w:rPr>
            </w:r>
          </w:p>
        </w:tc>
        <w:tc>
          <w:tcPr>
            <w:tcW w:w="406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segment operating profit and segment operating margin for the periods indicated, and the change between periods is shown in the table below:</w:t>
      </w:r>
    </w:p>
    <w:p>
      <w:pPr>
        <w:pStyle w:val="TextBody"/>
        <w:bidi w:val="0"/>
        <w:spacing w:before="0" w:after="0"/>
        <w:ind w:left="0" w:right="0" w:firstLine="540"/>
        <w:jc w:val="left"/>
        <w:rPr/>
      </w:pPr>
      <w:r>
        <w:rPr/>
      </w:r>
    </w:p>
    <w:tbl>
      <w:tblPr>
        <w:tblW w:w="10205" w:type="dxa"/>
        <w:jc w:val="left"/>
        <w:tblInd w:w="0" w:type="dxa"/>
        <w:tblLayout w:type="fixed"/>
        <w:tblCellMar>
          <w:top w:w="28" w:type="dxa"/>
          <w:left w:w="28" w:type="dxa"/>
          <w:bottom w:w="28" w:type="dxa"/>
          <w:right w:w="28" w:type="dxa"/>
        </w:tblCellMar>
      </w:tblPr>
      <w:tblGrid>
        <w:gridCol w:w="713"/>
        <w:gridCol w:w="542"/>
        <w:gridCol w:w="547"/>
        <w:gridCol w:w="196"/>
        <w:gridCol w:w="466"/>
        <w:gridCol w:w="109"/>
        <w:gridCol w:w="109"/>
        <w:gridCol w:w="109"/>
        <w:gridCol w:w="109"/>
        <w:gridCol w:w="385"/>
        <w:gridCol w:w="347"/>
        <w:gridCol w:w="818"/>
        <w:gridCol w:w="109"/>
        <w:gridCol w:w="109"/>
        <w:gridCol w:w="109"/>
        <w:gridCol w:w="196"/>
        <w:gridCol w:w="466"/>
        <w:gridCol w:w="109"/>
        <w:gridCol w:w="109"/>
        <w:gridCol w:w="109"/>
        <w:gridCol w:w="109"/>
        <w:gridCol w:w="385"/>
        <w:gridCol w:w="347"/>
        <w:gridCol w:w="818"/>
        <w:gridCol w:w="109"/>
        <w:gridCol w:w="109"/>
        <w:gridCol w:w="109"/>
        <w:gridCol w:w="293"/>
        <w:gridCol w:w="519"/>
        <w:gridCol w:w="150"/>
        <w:gridCol w:w="150"/>
        <w:gridCol w:w="150"/>
        <w:gridCol w:w="150"/>
        <w:gridCol w:w="233"/>
        <w:gridCol w:w="233"/>
        <w:gridCol w:w="575"/>
      </w:tblGrid>
      <w:tr>
        <w:trPr/>
        <w:tc>
          <w:tcPr>
            <w:tcW w:w="713"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Year-Over-Year Comparison</w:t>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3" w:type="dxa"/>
            <w:gridSpan w:val="9"/>
            <w:vMerge w:val="continue"/>
            <w:tcBorders/>
            <w:tcMar>
              <w:top w:w="0" w:type="dxa"/>
              <w:left w:w="0" w:type="dxa"/>
              <w:bottom w:w="0" w:type="dxa"/>
              <w:right w:w="0" w:type="dxa"/>
            </w:tcMar>
            <w:vAlign w:val="center"/>
          </w:tcPr>
          <w:p>
            <w:pPr>
              <w:pStyle w:val="Normal"/>
              <w:bidi w:val="0"/>
              <w:jc w:val="left"/>
              <w:rPr/>
            </w:pPr>
            <w:r>
              <w:rPr/>
            </w:r>
          </w:p>
        </w:tc>
      </w:tr>
      <w:tr>
        <w:trPr/>
        <w:tc>
          <w:tcPr>
            <w:tcW w:w="18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Segment operating profit:</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of Segment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8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functions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5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Profit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4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Public Cloud operating profit increased 20% in the three months ended March 31, 2026 from the three months ended March 31, 2025. Segment operating profit as a percentage of segment revenue increased by 50 basis points, reflecting a 7% increase in segment revenue, partially offset by a 6% increase in segment operating expenses. The increase in expenses was mainly driven by higher cost of revenue, which increased inline with revenue growth between periods.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Private Cloud operating profit decreased 5% in the three months ended March 31, 2026 from the three months ended March 31, 2025. Segment operating profit as a percentage of segment revenue increased by 30 basis points due to a 6% decrease in segment operating expenses, offset by a 6% decrease in segment revenue. The decrease in expenses was mainly driven by lower cost of revenue, inline with revenue decline, and gains on disposal of non-core assets in the current period.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Centralized corporate functions that provide services to the segments in areas such as accounting, information technology, marketing, legal and human resources are not allocated to the segments and are included in "corporate functions" in the table above. This expense decreased 9% in the three months ended March 31, 2026 from the three months ended March 31, 2025 due to our continued focus on cost management.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For more information about our segment </w:t>
      </w:r>
      <w:r>
        <w:rPr>
          <w:rFonts w:ascii="Times New Roman;serif" w:hAnsi="Times New Roman;serif"/>
          <w:b w:val="false"/>
          <w:color w:val="000000"/>
          <w:sz w:val="20"/>
          <w:shd w:fill="FFFFFF" w:val="clear"/>
        </w:rPr>
        <w:t>operating profit</w:t>
      </w:r>
      <w:r>
        <w:rPr>
          <w:rFonts w:ascii="Times New Roman;serif" w:hAnsi="Times New Roman;serif"/>
          <w:b w:val="false"/>
          <w:color w:val="000000"/>
          <w:sz w:val="20"/>
        </w:rPr>
        <w:t>, see Item 1 of Part I, Financial Statements - Note 13,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Expense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Interest expense increased $7 million, or 35%, to $26 million in the three months ended March 31, 2026 from $19 million in the three months ended March 31, 2025 driven by the impact of our interest rate swap maturing in February 2026. Borrowings on the Revolving Credit Facility also contributed to the increase in interest expense between periods.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- 31 -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Gain on Debt Extinguishment</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recorded 56 million</w:t>
      </w:r>
      <w:r>
        <w:rPr>
          <w:color w:val="000000"/>
          <w:shd w:fill="FFFFFF" w:val="clear"/>
        </w:rPr>
        <w:t xml:space="preserve"> </w:t>
      </w:r>
      <w:r>
        <w:rPr>
          <w:rFonts w:ascii="Times New Roman;serif" w:hAnsi="Times New Roman;serif"/>
          <w:b w:val="false"/>
          <w:color w:val="000000"/>
          <w:sz w:val="20"/>
          <w:shd w:fill="FFFFFF" w:val="clear"/>
        </w:rPr>
        <w:t xml:space="preserve">total </w:t>
      </w:r>
      <w:r>
        <w:rPr>
          <w:rFonts w:ascii="Times New Roman;serif" w:hAnsi="Times New Roman;serif"/>
          <w:b w:val="false"/>
          <w:color w:val="000000"/>
          <w:sz w:val="20"/>
        </w:rPr>
        <w:t xml:space="preserve">gain on debt extinguishment in the three months ended </w:t>
      </w:r>
      <w:r>
        <w:rPr>
          <w:rFonts w:ascii="Times New Roman;serif" w:hAnsi="Times New Roman;serif"/>
          <w:b w:val="false"/>
          <w:color w:val="000000"/>
          <w:sz w:val="20"/>
          <w:shd w:fill="FFFFFF" w:val="clear"/>
        </w:rPr>
        <w:t>March 31, 2026</w:t>
      </w:r>
      <w:r>
        <w:rPr>
          <w:color w:val="000000"/>
        </w:rPr>
        <w:t xml:space="preserve"> </w:t>
      </w:r>
      <w:r>
        <w:rPr>
          <w:rFonts w:ascii="Times New Roman;serif" w:hAnsi="Times New Roman;serif"/>
          <w:b w:val="false"/>
          <w:color w:val="000000"/>
          <w:sz w:val="20"/>
        </w:rPr>
        <w:t xml:space="preserve">related to repurchases of an aggregate </w:t>
      </w:r>
      <w:r>
        <w:rPr>
          <w:rFonts w:ascii="Times New Roman;serif" w:hAnsi="Times New Roman;serif"/>
          <w:b w:val="false"/>
          <w:color w:val="000000"/>
          <w:sz w:val="20"/>
          <w:shd w:fill="FFFFFF" w:val="clear"/>
        </w:rPr>
        <w:t>$96 million</w:t>
      </w:r>
      <w:r>
        <w:rPr>
          <w:color w:val="000000"/>
        </w:rPr>
        <w:t xml:space="preserve"> </w:t>
      </w:r>
      <w:r>
        <w:rPr>
          <w:rFonts w:ascii="Times New Roman;serif" w:hAnsi="Times New Roman;serif"/>
          <w:b w:val="false"/>
          <w:color w:val="000000"/>
          <w:sz w:val="20"/>
        </w:rPr>
        <w:t>principal amount of the 3.50% FLSO Senior Secured Notes, 3.50% Senior Secured Notes, and 5.375% Senior Notes.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more information, see Item 1 of Part I, Financial Statements - Note 7, "Debt."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Other Expense, Net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decrease in other expense, net to $4 million in the three months ended March 31, 2026 from $5 million in the three months ended March 31, 2025 is primarily due to foreign currency transaction gains.</w:t>
      </w:r>
    </w:p>
    <w:p>
      <w:pPr>
        <w:pStyle w:val="TextBody"/>
        <w:bidi w:val="0"/>
        <w:spacing w:before="0" w:after="0"/>
        <w:ind w:left="0" w:right="0" w:firstLine="540"/>
        <w:jc w:val="left"/>
        <w:rPr/>
      </w:pPr>
      <w:r>
        <w:rPr/>
      </w:r>
    </w:p>
    <w:p>
      <w:pPr>
        <w:pStyle w:val="TextBody"/>
        <w:bidi w:val="0"/>
        <w:spacing w:lineRule="auto" w:line="288" w:before="0" w:after="0"/>
        <w:jc w:val="left"/>
        <w:rPr/>
      </w:pPr>
      <w:r>
        <w:rPr>
          <w:rFonts w:ascii="Times New Roman;serif" w:hAnsi="Times New Roman;serif"/>
          <w:b w:val="false"/>
          <w:i/>
          <w:color w:val="000000"/>
          <w:sz w:val="20"/>
          <w:shd w:fill="FFFFFF" w:val="clear"/>
        </w:rPr>
        <w:t>Benefit (Provision) for Income T</w:t>
      </w:r>
      <w:r>
        <w:rPr>
          <w:rFonts w:ascii="Times New Roman;serif" w:hAnsi="Times New Roman;serif"/>
          <w:b w:val="false"/>
          <w:i/>
          <w:color w:val="000000"/>
          <w:sz w:val="20"/>
        </w:rPr>
        <w:t>axes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income tax benefit was $0.1 million in the three months ended March 31, 2026 compared to $8 million income tax expense in the three months ended March 31, 2025. Our effective tax rate increased to (1.5)% in the three months ended March 31, 2026 from (12.9)% in the three months ended March 31, 2025. The increase in the effective tax rate year-over-year is primarily due to the tax impact associated with changes in valuation allowance, the net impact of the geographic distribution of our earnings, the tax effects from non-deductible share-based compensation, and executive compensation that is non-deductible under Internal Revenue Code (“IRC”) Section 162(m). The difference between the effective tax rate and the statutory rate for the three months ended March 31, 2026 is primarily due to the tax impact associated with changes in valuation allowance, executive compensation that is non-deductible under IRC Section 162(m), and the net impact of the geographic distribution of our earnings.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- 32 -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track several non-GAAP financial measures to monitor and manage our underlying financial performance. The following discussion includes the presentation of constant currency revenue, Non-GAAP Gross Profit, Non-GAAP Net Income (Loss), Non-GAAP Operating Profit, Adjusted EBITDA and Non-GAAP Earnings (Loss) Per Share, which are non-GAAP financial measures that exclude the impact of certain costs, losses and gains that are required to be included in our profit and loss measures under GAAP. Although we believe these measures are useful to investors and analysts for the same reasons they are useful to management, as discussed below, these measures are not a substitute for, or superior to, U.S. GAAP financial measures or disclosures. Other companies may calculate similarly-titled non-GAAP measures differently, limiting their usefulness as comparative measures. We have reconciled each of these non-GAAP measures to the applicable most comparable GAAP measure throughout this MD&amp;A.</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Constant Currency Revenue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use constant currency revenue as an additional metric for understanding and assessing our growth excluding the effect of foreign currency rate fluctuations on our international business operations. Constant currency information compares results between periods as if exchange rates had remained constant period over period and is calculated by translating the non-U.S. dollar income statement balances for the most current period to U.S. dollars using the average exchange rate from the comparative period rather than the actual exchange rates in effect during the respective period. We also believe this is an important metric to help investors evaluate our performance in comparison to prior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by segment, actual and constant currency revenue and constant currency revenue growth rates, for and between the periods indicated:</w:t>
      </w:r>
    </w:p>
    <w:p>
      <w:pPr>
        <w:pStyle w:val="TextBody"/>
        <w:bidi w:val="0"/>
        <w:spacing w:before="0" w:after="0"/>
        <w:ind w:left="0" w:right="0" w:firstLine="612"/>
        <w:jc w:val="left"/>
        <w:rPr/>
      </w:pPr>
      <w:r>
        <w:rPr/>
      </w:r>
    </w:p>
    <w:tbl>
      <w:tblPr>
        <w:tblW w:w="10205" w:type="dxa"/>
        <w:jc w:val="left"/>
        <w:tblInd w:w="0" w:type="dxa"/>
        <w:tblLayout w:type="fixed"/>
        <w:tblCellMar>
          <w:top w:w="28" w:type="dxa"/>
          <w:left w:w="28" w:type="dxa"/>
          <w:bottom w:w="28" w:type="dxa"/>
          <w:right w:w="28" w:type="dxa"/>
        </w:tblCellMar>
      </w:tblPr>
      <w:tblGrid>
        <w:gridCol w:w="392"/>
        <w:gridCol w:w="344"/>
        <w:gridCol w:w="347"/>
        <w:gridCol w:w="373"/>
        <w:gridCol w:w="1059"/>
        <w:gridCol w:w="207"/>
        <w:gridCol w:w="109"/>
        <w:gridCol w:w="109"/>
        <w:gridCol w:w="109"/>
        <w:gridCol w:w="196"/>
        <w:gridCol w:w="556"/>
        <w:gridCol w:w="109"/>
        <w:gridCol w:w="109"/>
        <w:gridCol w:w="109"/>
        <w:gridCol w:w="109"/>
        <w:gridCol w:w="448"/>
        <w:gridCol w:w="895"/>
        <w:gridCol w:w="250"/>
        <w:gridCol w:w="109"/>
        <w:gridCol w:w="109"/>
        <w:gridCol w:w="109"/>
        <w:gridCol w:w="333"/>
        <w:gridCol w:w="945"/>
        <w:gridCol w:w="185"/>
        <w:gridCol w:w="109"/>
        <w:gridCol w:w="109"/>
        <w:gridCol w:w="109"/>
        <w:gridCol w:w="205"/>
        <w:gridCol w:w="207"/>
        <w:gridCol w:w="334"/>
        <w:gridCol w:w="109"/>
        <w:gridCol w:w="109"/>
        <w:gridCol w:w="109"/>
        <w:gridCol w:w="256"/>
        <w:gridCol w:w="244"/>
        <w:gridCol w:w="685"/>
      </w:tblGrid>
      <w:tr>
        <w:trPr/>
        <w:tc>
          <w:tcPr>
            <w:tcW w:w="392"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r>
      <w:tr>
        <w:trPr/>
        <w:tc>
          <w:tcPr>
            <w:tcW w:w="10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Change</w:t>
            </w:r>
          </w:p>
        </w:tc>
      </w:tr>
      <w:tr>
        <w:trPr/>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Foreign Currency Translation </w:t>
            </w:r>
            <w:r>
              <w:rPr>
                <w:rFonts w:ascii="Times New Roman;serif" w:hAnsi="Times New Roman;serif"/>
                <w:b/>
                <w:color w:val="000000"/>
                <w:sz w:val="12"/>
              </w:rPr>
              <w: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Revenue in Constant 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Actual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Constant Currency</w:t>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Public Cloud</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Private Cloud</w:t>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083"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665.4 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672.1 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460"/>
        <w:gridCol w:w="6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foreign currency is calculated by translating current period results using the average exchange rate from the prior comparative period.</w:t>
            </w:r>
          </w:p>
        </w:tc>
      </w:tr>
    </w:tbl>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- 33 -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Non-GAAP Gross Profit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Gross Profit in this MD&amp;A because we believe the measure is useful in analyzing trends in our underlying, recurring gross margins. We define Non-GAAP Gross Profit as gross profit, adjusted to exclude the impact of share-based compensation expense, purchase accounting-related effects, and certain business transformation-related costs.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table below presents a reconciliation of gross profit to Non-GAAP Gross Profit:</w:t>
      </w:r>
    </w:p>
    <w:p>
      <w:pPr>
        <w:pStyle w:val="TextBody"/>
        <w:bidi w:val="0"/>
        <w:spacing w:before="0" w:after="0"/>
        <w:ind w:left="0" w:right="0" w:firstLine="540"/>
        <w:jc w:val="left"/>
        <w:rPr/>
      </w:pPr>
      <w:r>
        <w:rPr/>
      </w:r>
    </w:p>
    <w:tbl>
      <w:tblPr>
        <w:tblW w:w="6402" w:type="dxa"/>
        <w:jc w:val="left"/>
        <w:tblInd w:w="0" w:type="dxa"/>
        <w:tblLayout w:type="fixed"/>
        <w:tblCellMar>
          <w:top w:w="28" w:type="dxa"/>
          <w:left w:w="28" w:type="dxa"/>
          <w:bottom w:w="28" w:type="dxa"/>
          <w:right w:w="28" w:type="dxa"/>
        </w:tblCellMar>
      </w:tblPr>
      <w:tblGrid>
        <w:gridCol w:w="1212"/>
        <w:gridCol w:w="1061"/>
        <w:gridCol w:w="1071"/>
        <w:gridCol w:w="246"/>
        <w:gridCol w:w="700"/>
        <w:gridCol w:w="137"/>
        <w:gridCol w:w="137"/>
        <w:gridCol w:w="137"/>
        <w:gridCol w:w="137"/>
        <w:gridCol w:w="246"/>
        <w:gridCol w:w="700"/>
        <w:gridCol w:w="137"/>
        <w:gridCol w:w="109"/>
        <w:gridCol w:w="109"/>
        <w:gridCol w:w="109"/>
        <w:gridCol w:w="154"/>
      </w:tblGrid>
      <w:tr>
        <w:trPr/>
        <w:tc>
          <w:tcPr>
            <w:tcW w:w="121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Purchase accounting impact on expense </w:t>
            </w:r>
            <w:r>
              <w:rPr>
                <w:rFonts w:ascii="Times New Roman;serif" w:hAnsi="Times New Roman;serif"/>
                <w:b w:val="false"/>
                <w:color w:val="000000"/>
                <w:sz w:val="12"/>
              </w:rPr>
              <w:t>(a)</w:t>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59"/>
        <w:gridCol w:w="2847"/>
        <w:gridCol w:w="4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Adjustment for the impact of purchase accounting from the Rackspace Acquisition on expenses.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Adjustment for the impact of business transformation and optimization activities, as well as associated severance, certain facility closure costs and lease termination expenses. Also includes payroll taxes associated with the exercise of stock options and vesting of restricted stock.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Net Income (Loss), Non-GAAP Operating Profit and Adjusted EBITDA</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present Non-GAAP Net Income (Loss), Non-GAAP Operating Profit and Adjusted EBITDA because they are a basis upon which management assesses our performance and we believe they are useful to evaluating our financial performance. We believe that excluding items from net income that may not be indicative of, or are unrelated to, our core operating results, and that may vary in frequency or magnitude, enhances the comparability of our results and provides a better baseline for analyzing trends in our business.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The Rackspace Acquisition was structured as a leveraged buyout of Rackspace Technology Global, our predecessor, and resulted in several accounting and capital structure impacts. For example, the revaluation of our assets and liabilities resulted in a significant increase in our amortizable intangible assets and goodwill, the incurrence of a significant amount of </w:t>
      </w:r>
      <w:r>
        <w:rPr>
          <w:rFonts w:ascii="Times New Roman;serif" w:hAnsi="Times New Roman;serif"/>
          <w:b w:val="false"/>
          <w:color w:val="000000"/>
          <w:sz w:val="20"/>
          <w:shd w:fill="FFFFFF" w:val="clear"/>
        </w:rPr>
        <w:t>debt to partially finance the Rackspace Acquisition resulted in interest payments that reflect our high leverage and cost of debt capital, and the conversion of Rackspace Technology Global’s unvested equity compensation into a cash-settled bonus plan and obliga</w:t>
      </w:r>
      <w:r>
        <w:rPr>
          <w:rFonts w:ascii="Times New Roman;serif" w:hAnsi="Times New Roman;serif"/>
          <w:b w:val="false"/>
          <w:color w:val="000000"/>
          <w:sz w:val="20"/>
        </w:rPr>
        <w:t>tion to pay management fees to our equity holders resulted in new cash commitments. In addition, the change in ownership and management resulting from the Rackspace Acquisition led to a strategic realignment in our operations that had a significant impact on our financial results. Following the Rackspace Acquisition, we acquired several businesses, sold businesses and investments that we deemed to be non-core and launched multiple integration and business transformation initiatives intended to improve the efficiency of people and operations and identify recurring cost savings and new revenue growth opportunities. We believe that these transactions and activities resulted in costs, which have historically been substantial, and that may not be indicative of, or are not related to, our core operating results, including interest related to the incurrence of additional debt to finance acquisitions and third party legal, advisory and consulting fees and severance, retention bonus and other internal costs that we believe would not have been incurred in the absence of these transactions and activities and also may not be indicative of, or related to, our core operating results.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define Non-GAAP Net Income (Loss) as net income (loss) adjusted to exclude the impact of non-cash charges for share-based compensation, transaction-related costs and adjustments, restructuring and transformation charges, the amortization of acquired intangible assets, goodwill and asset impairment charges, the interest expense impact from the refinancing transactions announced in March 2024 </w:t>
      </w:r>
      <w:r>
        <w:rPr>
          <w:rFonts w:ascii="Times New Roman;serif" w:hAnsi="Times New Roman;serif"/>
          <w:b w:val="false"/>
          <w:color w:val="000000"/>
          <w:sz w:val="20"/>
          <w:shd w:fill="FFFFFF" w:val="clear"/>
        </w:rPr>
        <w:t>(the “March 2024 Refinancing Transactions”)</w:t>
      </w:r>
      <w:r>
        <w:rPr>
          <w:rFonts w:ascii="Times New Roman;serif" w:hAnsi="Times New Roman;serif"/>
          <w:b w:val="false"/>
          <w:color w:val="000000"/>
          <w:sz w:val="20"/>
        </w:rPr>
        <w:t>, and certain other non-operating, non-recurring or non-core gains and losses, as well as the tax effects of these non-GAAP adjustments.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Operating Profit as income (loss) from operations adjusted to exclude the impact of non-cash charges for share-based compensation, transaction-related costs and adjustments, restructuring and transformation charges, the amortization of acquired intangible assets, goodwill and asset impairment charges, and certain other non-operating, non-recurring or non-core gains and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- 34 -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Adjusted EBITDA as net income (loss) adjusted to exclude the impact of non-cash charges for share-based compensation, transaction-related costs and adjustments, restructuring and transformation charges, certain other non-operating, non-recurring or non-core gains and losses, interest expense, expenses for our accounts receivable purchase agreement, income taxes, depreciation and amortization, and goodwill and asset impairment charges.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Non-GAAP Operating Profit and Adjusted EBITDA are management's principal metrics for measuring our underlying financial performance. Non-GAAP Operating Profit and Adjusted EBITDA, along with other quantitative and qualitative information, are also the principal financial measures used by management and our Board of Directors in determining performance-based compensation for our management and key employees.</w:t>
      </w:r>
    </w:p>
    <w:p>
      <w:pPr>
        <w:pStyle w:val="TextBody"/>
        <w:bidi w:val="0"/>
        <w:spacing w:before="0" w:after="0"/>
        <w:ind w:left="0" w:right="0" w:firstLine="612"/>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These non-GAAP measures are not intended to imply that we would have generated higher income or avoided net losses if the Rackspace Acquisition and the subsequent transactions and initiatives had not occurred. In the future we may incur expenses or charges such as those added back to calculate Non-GAAP Net Income (Loss), Non-GAAP Operating Profit or Adjusted EBITDA. Our presentation of Non-GAAP Net Income (Loss), Non-GAAP Operating Profit and Adjusted EBITDA should not be construed as an inference that our future results will be unaffected by these items. Other companies, including our peer companies, may calculate similarly-titled measures in a different manner from us, and therefore, our non-GAAP measures may not be comparable to similarly-titled measures of other companies. Investors are cautioned against using these measures to the exclusion of our results in accordance with GAAP.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The following tables present a reconciliation of Non-GAAP Net Loss and Adjusted EBITDA to the most directly comparable GAAP financial measures. For a reconciliation of loss from operations to Non-GAAP Operating Profit, see "</w:t>
      </w:r>
      <w:r>
        <w:rPr>
          <w:rFonts w:ascii="Times New Roman;serif" w:hAnsi="Times New Roman;serif"/>
          <w:b w:val="false"/>
          <w:i/>
          <w:color w:val="000000"/>
          <w:sz w:val="20"/>
        </w:rPr>
        <w:t>Loss from Operations, Segment Operating Profit, and Non-GAAP Operating Profit</w:t>
      </w:r>
      <w:r>
        <w:rPr>
          <w:rFonts w:ascii="Times New Roman;serif" w:hAnsi="Times New Roman;serif"/>
          <w:b w:val="false"/>
          <w:color w:val="000000"/>
          <w:sz w:val="20"/>
        </w:rPr>
        <w:t>" in the year-over-year comparison under "Results of Operations" above.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income (loss) reconciliation to Non-GAAP Net Loss</w:t>
      </w:r>
    </w:p>
    <w:tbl>
      <w:tblPr>
        <w:tblW w:w="8427" w:type="dxa"/>
        <w:jc w:val="left"/>
        <w:tblInd w:w="0" w:type="dxa"/>
        <w:tblLayout w:type="fixed"/>
        <w:tblCellMar>
          <w:top w:w="28" w:type="dxa"/>
          <w:left w:w="28" w:type="dxa"/>
          <w:bottom w:w="28" w:type="dxa"/>
          <w:right w:w="28" w:type="dxa"/>
        </w:tblCellMar>
      </w:tblPr>
      <w:tblGrid>
        <w:gridCol w:w="1948"/>
        <w:gridCol w:w="1708"/>
        <w:gridCol w:w="1713"/>
        <w:gridCol w:w="250"/>
        <w:gridCol w:w="691"/>
        <w:gridCol w:w="139"/>
        <w:gridCol w:w="139"/>
        <w:gridCol w:w="139"/>
        <w:gridCol w:w="139"/>
        <w:gridCol w:w="250"/>
        <w:gridCol w:w="691"/>
        <w:gridCol w:w="139"/>
        <w:gridCol w:w="109"/>
        <w:gridCol w:w="109"/>
        <w:gridCol w:w="109"/>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on divestiture and investments</w:t>
            </w:r>
            <w:r>
              <w:rPr>
                <w:color w:val="000000"/>
              </w:rPr>
              <w:t xml:space="preserve"> </w:t>
            </w:r>
            <w:r>
              <w:rPr>
                <w:rFonts w:ascii="Times New Roman;serif" w:hAnsi="Times New Roman;serif"/>
                <w:b w:val="false"/>
                <w:color w:val="000000"/>
                <w:sz w:val="12"/>
              </w:rPr>
              <w:t>(c)</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Interest expense impact from the March 2024 Refinancing Transactions </w:t>
            </w:r>
            <w:r>
              <w:rPr>
                <w:rFonts w:ascii="Times New Roman;serif" w:hAnsi="Times New Roman;serif"/>
                <w:b w:val="false"/>
                <w:color w:val="000000"/>
                <w:sz w:val="12"/>
              </w:rPr>
              <w:t>(d)</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adjustments </w:t>
            </w:r>
            <w:r>
              <w:rPr>
                <w:rFonts w:ascii="Times New Roman;serif" w:hAnsi="Times New Roman;serif"/>
                <w:b w:val="false"/>
                <w:color w:val="000000"/>
                <w:sz w:val="12"/>
              </w:rPr>
              <w:t>(e)</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Amortization of intangible assets </w:t>
            </w:r>
            <w:r>
              <w:rPr>
                <w:rFonts w:ascii="Times New Roman;serif" w:hAnsi="Times New Roman;serif"/>
                <w:b w:val="false"/>
                <w:color w:val="000000"/>
                <w:sz w:val="12"/>
              </w:rPr>
              <w:t>(f)</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Tax effect of non-GAAP adjustments </w:t>
            </w:r>
            <w:r>
              <w:rPr>
                <w:rFonts w:ascii="Times New Roman;serif" w:hAnsi="Times New Roman;serif"/>
                <w:b w:val="false"/>
                <w:color w:val="000000"/>
                <w:sz w:val="12"/>
              </w:rPr>
              <w:t>(g)</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- 35 -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Net income (loss) reconciliation to Adjusted EBITDA</w:t>
      </w:r>
    </w:p>
    <w:tbl>
      <w:tblPr>
        <w:tblW w:w="6401" w:type="dxa"/>
        <w:jc w:val="left"/>
        <w:tblInd w:w="0" w:type="dxa"/>
        <w:tblLayout w:type="fixed"/>
        <w:tblCellMar>
          <w:top w:w="28" w:type="dxa"/>
          <w:left w:w="28" w:type="dxa"/>
          <w:bottom w:w="28" w:type="dxa"/>
          <w:right w:w="28" w:type="dxa"/>
        </w:tblCellMar>
      </w:tblPr>
      <w:tblGrid>
        <w:gridCol w:w="1213"/>
        <w:gridCol w:w="1064"/>
        <w:gridCol w:w="1067"/>
        <w:gridCol w:w="260"/>
        <w:gridCol w:w="718"/>
        <w:gridCol w:w="144"/>
        <w:gridCol w:w="144"/>
        <w:gridCol w:w="144"/>
        <w:gridCol w:w="144"/>
        <w:gridCol w:w="260"/>
        <w:gridCol w:w="618"/>
        <w:gridCol w:w="144"/>
        <w:gridCol w:w="109"/>
        <w:gridCol w:w="109"/>
        <w:gridCol w:w="109"/>
        <w:gridCol w:w="154"/>
      </w:tblGrid>
      <w:tr>
        <w:trPr/>
        <w:tc>
          <w:tcPr>
            <w:tcW w:w="1213"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Transaction-related adjustments, net </w:t>
            </w:r>
            <w:r>
              <w:rPr>
                <w:rFonts w:ascii="Times New Roman;serif" w:hAnsi="Times New Roman;serif"/>
                <w:b w:val="false"/>
                <w:color w:val="000000"/>
                <w:sz w:val="12"/>
              </w:rPr>
              <w:t>(a)</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Restructuring and transformation expenses </w:t>
            </w:r>
            <w:r>
              <w:rPr>
                <w:rFonts w:ascii="Times New Roman;serif" w:hAnsi="Times New Roman;serif"/>
                <w:b w:val="false"/>
                <w:color w:val="000000"/>
                <w:sz w:val="12"/>
              </w:rPr>
              <w:t>(b)</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02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Net loss on divestiture and investments</w:t>
            </w:r>
            <w:r>
              <w:rPr>
                <w:color w:val="000000"/>
              </w:rPr>
              <w:t xml:space="preserve"> </w:t>
            </w:r>
            <w:r>
              <w:rPr>
                <w:rFonts w:ascii="Times New Roman;serif" w:hAnsi="Times New Roman;serif"/>
                <w:b w:val="false"/>
                <w:color w:val="000000"/>
                <w:sz w:val="12"/>
              </w:rPr>
              <w:t>(c)</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debt extinguishment</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expense, net </w:t>
            </w:r>
            <w:r>
              <w:rPr>
                <w:rFonts w:ascii="Times New Roman;serif" w:hAnsi="Times New Roman;serif"/>
                <w:b w:val="false"/>
                <w:color w:val="000000"/>
                <w:sz w:val="12"/>
              </w:rPr>
              <w:t>(h)</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(benefit) for income taxes</w:t>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Depreciation and amortization </w:t>
            </w:r>
            <w:r>
              <w:rPr>
                <w:rFonts w:ascii="Times New Roman;serif" w:hAnsi="Times New Roman;serif"/>
                <w:b w:val="false"/>
                <w:color w:val="000000"/>
                <w:sz w:val="12"/>
              </w:rPr>
              <w:t>(i)</w:t>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79"/>
        <w:gridCol w:w="2845"/>
        <w:gridCol w:w="40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9" w:type="dxa"/>
            <w:tcBorders/>
            <w:vAlign w:val="center"/>
          </w:tcPr>
          <w:p>
            <w:pPr>
              <w:pStyle w:val="TableContents"/>
              <w:bidi w:val="0"/>
              <w:spacing w:before="0" w:after="283"/>
              <w:jc w:val="left"/>
              <w:rPr>
                <w:sz w:val="4"/>
                <w:szCs w:val="4"/>
              </w:rPr>
            </w:pPr>
            <w:r>
              <w:rPr>
                <w:sz w:val="4"/>
                <w:szCs w:val="4"/>
              </w:rPr>
            </w:r>
          </w:p>
        </w:tc>
        <w:tc>
          <w:tcPr>
            <w:tcW w:w="2845" w:type="dxa"/>
            <w:tcBorders/>
            <w:vAlign w:val="center"/>
          </w:tcPr>
          <w:p>
            <w:pPr>
              <w:pStyle w:val="TableContents"/>
              <w:bidi w:val="0"/>
              <w:spacing w:before="0" w:after="283"/>
              <w:jc w:val="left"/>
              <w:rPr>
                <w:sz w:val="4"/>
                <w:szCs w:val="4"/>
              </w:rPr>
            </w:pPr>
            <w:r>
              <w:rPr>
                <w:sz w:val="4"/>
                <w:szCs w:val="4"/>
              </w:rPr>
            </w:r>
          </w:p>
        </w:tc>
        <w:tc>
          <w:tcPr>
            <w:tcW w:w="40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purchase accounting adjustments, exploratory acquisition and divestiture costs, and expenses related to financing activities.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Includes consulting and advisory fees related to business transformation and optimization activities, as well as associated severance, certain facility closure costs, and lease termination expenses. Also includes payroll taxes associated with the exercise of stock options and vesting of restricted stock.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Includes gains and losses on investment and from dispositions.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(d)</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Interest expense impact due to the accounting for contractual interest payments on debt instruments entered into as part of the March 2024 Refinancing Transactions, which reduced interest expense relative to contractual interest cost.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(e)</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Primarily consists of foreign currency gains and losses.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(f)</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All of our intangible assets are attributable to acquisitions, including the Rackspace Acquisition in 2016.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(g)</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We utilize an estimated structural long-term non-GAAP tax rate in order to provide consistency across reporting periods, removing the effect of non-recurring tax adjustments, which include but are not limited to tax rate changes, U.S. tax reform, share-based compensation, audit conclusions and changes to valuation allowances. When computing this long-term rate for the 2025 and 2026 interim periods, we based it on an average of the 2024 and estimated 2025 tax rates and 2025 and estimated 2026 tax rates, respectively, recomputed to remove the tax effect of non-GAAP pre-tax adjustments and non-recurring tax adjustments, resulting in a structural non-GAAP tax</w:t>
            </w:r>
            <w:r>
              <w:rPr>
                <w:color w:val="000000"/>
                <w:shd w:fill="FFFFFF" w:val="clear"/>
              </w:rPr>
              <w:t xml:space="preserve"> </w:t>
            </w:r>
            <w:r>
              <w:rPr>
                <w:rFonts w:ascii="Times New Roman;serif" w:hAnsi="Times New Roman;serif"/>
                <w:b w:val="false"/>
                <w:color w:val="000000"/>
                <w:sz w:val="18"/>
                <w:shd w:fill="FFFFFF" w:val="clear"/>
              </w:rPr>
              <w:t xml:space="preserve">rate of 26% </w:t>
            </w:r>
            <w:r>
              <w:rPr>
                <w:rFonts w:ascii="Times New Roman;serif" w:hAnsi="Times New Roman;serif"/>
                <w:b w:val="false"/>
                <w:color w:val="000000"/>
                <w:sz w:val="18"/>
              </w:rPr>
              <w:t>for all periods. The non-GAAP tax rate could be subject to change for a variety of reasons, including the rapidly evolving global tax environment, significant changes in our geographic earnings mix including due to acquisition activity, or other changes to our strategy or business operations. We will re-evaluate our long-term non-GAAP tax rate as appropriate. We believe that making these adjustments facilitates a better evaluation of our current operating performance and comparisons to prior periods.</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(h)</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Primarily consists of foreign currency gains and losses and expense related to our accounts receivable purchase agreement.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Excludes accelerated depreciation expense related to facility closures.</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- 36 -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Earnings (Loss) Per Share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define Non-GAAP Earnings (Loss) Per Share as Non-GAAP Net Income (Loss) divided by our GAAP weighted average number of shares outstanding for the period on a diluted basis and further adjusted for the weighted average number of shares associated with securities which are anti-dilutive to GAAP loss per share. Management uses Non-GAAP Earnings (Loss) Per Share to evaluate the performance of our business on a comparable basis from period to period, including by adjusting for the impact of the issuance of shares. The following table reconciles Non-GAAP Loss Per Share to our GAAP net earnings (loss) per share on a diluted basis:</w:t>
      </w:r>
    </w:p>
    <w:p>
      <w:pPr>
        <w:pStyle w:val="TextBody"/>
        <w:bidi w:val="0"/>
        <w:spacing w:before="0" w:after="0"/>
        <w:ind w:left="0" w:right="0" w:firstLine="540"/>
        <w:jc w:val="left"/>
        <w:rPr/>
      </w:pPr>
      <w:r>
        <w:rPr/>
      </w:r>
    </w:p>
    <w:tbl>
      <w:tblPr>
        <w:tblW w:w="7992" w:type="dxa"/>
        <w:jc w:val="left"/>
        <w:tblInd w:w="0" w:type="dxa"/>
        <w:tblLayout w:type="fixed"/>
        <w:tblCellMar>
          <w:top w:w="28" w:type="dxa"/>
          <w:left w:w="28" w:type="dxa"/>
          <w:bottom w:w="28" w:type="dxa"/>
          <w:right w:w="28" w:type="dxa"/>
        </w:tblCellMar>
      </w:tblPr>
      <w:tblGrid>
        <w:gridCol w:w="1786"/>
        <w:gridCol w:w="1567"/>
        <w:gridCol w:w="1581"/>
        <w:gridCol w:w="250"/>
        <w:gridCol w:w="691"/>
        <w:gridCol w:w="139"/>
        <w:gridCol w:w="139"/>
        <w:gridCol w:w="139"/>
        <w:gridCol w:w="139"/>
        <w:gridCol w:w="250"/>
        <w:gridCol w:w="691"/>
        <w:gridCol w:w="139"/>
        <w:gridCol w:w="109"/>
        <w:gridCol w:w="109"/>
        <w:gridCol w:w="109"/>
        <w:gridCol w:w="154"/>
      </w:tblGrid>
      <w:tr>
        <w:trPr/>
        <w:tc>
          <w:tcPr>
            <w:tcW w:w="1786"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 except per share amounts)</w:t>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Loss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 Diluted</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Effect of dilutive securities </w:t>
            </w:r>
            <w:r>
              <w:rPr>
                <w:rFonts w:ascii="Times New Roman;serif" w:hAnsi="Times New Roman;serif"/>
                <w:b w:val="false"/>
                <w:color w:val="000000"/>
                <w:sz w:val="12"/>
              </w:rPr>
              <w:t>(a)</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weighted average number of shares - Diluted</w:t>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241.5 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earnings (loss) per share - 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adjustments to net income (loss) </w:t>
            </w:r>
            <w:r>
              <w:rPr>
                <w:rFonts w:ascii="Times New Roman;serif" w:hAnsi="Times New Roman;serif"/>
                <w:b w:val="false"/>
                <w:color w:val="000000"/>
                <w:sz w:val="12"/>
              </w:rPr>
              <w:t>(b)</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Per share impacts of shares after adjustments to net income (loss) </w:t>
            </w:r>
            <w:r>
              <w:rPr>
                <w:rFonts w:ascii="Times New Roman;serif" w:hAnsi="Times New Roman;serif"/>
                <w:b w:val="false"/>
                <w:color w:val="000000"/>
                <w:sz w:val="12"/>
              </w:rPr>
              <w:t>(a)</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Non-GAAP Loss Per Share</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rFonts w:ascii="Times New Roman;serif" w:hAnsi="Times New Roman;serif"/>
                <w:b w:val="false"/>
                <w:color w:val="000000"/>
                <w:sz w:val="18"/>
              </w:rPr>
              <w:t>Potential common share equivalents consist of shares issuable upon the exercise of stock options, vesting of restricted stock units (including performance-based restricted stock units) or purchases under the Employee Stock Purchase Plan (the "ESPP"), as well as contingent shares associated with our acquisition of Datapipe Parent, Inc. Certain of our potential common share equivalents are contingent on certain investment funds managed by affiliates of Apollo achieving pre-established performance targets based on a multiple of their invested capital ("MOI</w:t>
            </w:r>
            <w:r>
              <w:rPr>
                <w:rFonts w:ascii="Times New Roman;serif" w:hAnsi="Times New Roman;serif"/>
                <w:b w:val="false"/>
                <w:color w:val="000000"/>
                <w:sz w:val="20"/>
              </w:rPr>
              <w:t>C")</w:t>
            </w:r>
            <w:r>
              <w:rPr>
                <w:rFonts w:ascii="Times New Roman;serif" w:hAnsi="Times New Roman;serif"/>
                <w:b w:val="false"/>
                <w:color w:val="000000"/>
                <w:sz w:val="18"/>
              </w:rPr>
              <w:t xml:space="preserve">, which are included in the denominator for the entire period if such shares would be issuable as of the end of the reporting period assuming the end of the reporting period was the end of the contingency period.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Reflects the aggregate adjustments made to reconcile Non-GAAP Net Loss to our net income (loss), as noted in the above table, divided by the GAAP diluted number of shares outstanding for the relevant period.</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- 37 -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Overview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primarily finance our operations and capital expenditures with internally-generated cash from operations and hardware leases, and if necessary, borrowings under the Revolving Credit Facility. As of March 31, 2026, the Revolving Credit Facility provided for up to $375 million of borrowings, $150 million of which was drawn and outstanding as of March 31, 2026. Our primary uses of cash are working capital requirements, debt service requirements and capital expenditures. Based on our current level of operations and available cash, we believe our sources will provide sufficient liquidity over at least the next twelve months. We cannot provide assurance, however, that our business will generate sufficient cash flows from operations or that future borrowings will be available to us under the Revolving Credit Facility or from other sources in an amount sufficient to enable us to pay our indebtedness or to fund our other liquidity needs. Our ability to do so depends on prevailing economic conditions and other factors, many of which are beyond our control. In addition, upon the occurrence of certain events, such as a change of control, we could be required to repay or refinance our indebtedness. We cannot assure that we will be able to refinance any of our indebtedness on commercially reasonable terms or at all. Any future acquisitions, joint ventures or other similar transactions will likely require additional capital, and there can be no assurance that any such capital will be available to us on acceptable terms or at all.</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From time to time, depending upon market and other conditions, as well as upon our cash balances and liquidity, we, our subsidiaries or our affiliates may acquire (and have acquired) our outstanding debt securities or our other indebtedness through open market purchases, privately negotiated transactions, tender offers, redemption or otherwise, upon such terms and at such prices as we, our subsidiaries or our affiliates may determine (or as may be provided for in the </w:t>
      </w:r>
      <w:r>
        <w:rPr>
          <w:rFonts w:ascii="Times New Roman;serif" w:hAnsi="Times New Roman;serif"/>
          <w:b w:val="false"/>
          <w:color w:val="000000"/>
          <w:sz w:val="20"/>
        </w:rPr>
        <w:t xml:space="preserve">indenture governing the 3.50% FLSO Senior Secured Notes (the “3.50% FLSO Senior Secured Notes Indenture”), the </w:t>
      </w:r>
      <w:r>
        <w:rPr>
          <w:rFonts w:ascii="Times New Roman;serif" w:hAnsi="Times New Roman;serif"/>
          <w:b w:val="false"/>
          <w:color w:val="000000"/>
          <w:sz w:val="20"/>
          <w:shd w:fill="FFFFFF" w:val="clear"/>
        </w:rPr>
        <w:t xml:space="preserve">indenture governing the 5.375% Senior Notes (the "5.375% Notes Indenture") or the indenture governing the 3.50% Senior Secured Notes (the "3.50% Notes Indenture" and, together with the </w:t>
      </w:r>
      <w:r>
        <w:rPr>
          <w:rFonts w:ascii="Times New Roman;serif" w:hAnsi="Times New Roman;serif"/>
          <w:b w:val="false"/>
          <w:color w:val="000000"/>
          <w:sz w:val="20"/>
        </w:rPr>
        <w:t>3.50% FLSO Senior Secured Notes Indenture and</w:t>
      </w:r>
      <w:r>
        <w:rPr>
          <w:color w:val="000000"/>
          <w:shd w:fill="FFFFFF" w:val="clear"/>
        </w:rPr>
        <w:t xml:space="preserve"> </w:t>
      </w:r>
      <w:r>
        <w:rPr>
          <w:rFonts w:ascii="Times New Roman;serif" w:hAnsi="Times New Roman;serif"/>
          <w:b w:val="false"/>
          <w:color w:val="000000"/>
          <w:sz w:val="20"/>
          <w:shd w:fill="FFFFFF" w:val="clear"/>
        </w:rPr>
        <w:t xml:space="preserve">5.375% Notes Indenture, the "Indentures"), if applicable), for cash or other consideration.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At March 31, 2026, we held $94 million in cash and cash equivalents (not including $2 million in restricted cash, which is included in "Other non-current assets"), of which $77 million was held by foreign entities.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entered into installment payment arrangements with certain equipment and software vendors, along with sale-leaseback arrangements for equipment and certain property leases that are considered financing obligations. We had $49 million outstanding with respect to these arrangements as of March 31, 2026. We may choose to utilize these various sources of funding in future periods.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also lease certain equipment and real estate under operating and finance lease agreements. We had $470 million outstanding with respect to operating and finance lease agreements as of March 31, 2026. We may choose to utilize such leasing arrangements in future periods.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As of March 31, 2026, we had $2,328 million aggregate principal amount outstanding under the </w:t>
      </w:r>
      <w:r>
        <w:rPr>
          <w:rFonts w:ascii="Times New Roman;serif" w:hAnsi="Times New Roman;serif"/>
          <w:b w:val="false"/>
          <w:color w:val="000000"/>
          <w:sz w:val="20"/>
        </w:rPr>
        <w:t xml:space="preserve">FLSO Term Loan Facility, the FLFO Term Loan Facility, the </w:t>
      </w:r>
      <w:r>
        <w:rPr>
          <w:rFonts w:ascii="Times New Roman;serif" w:hAnsi="Times New Roman;serif"/>
          <w:b w:val="false"/>
          <w:color w:val="000000"/>
          <w:sz w:val="20"/>
          <w:shd w:fill="FFFFFF" w:val="clear"/>
        </w:rPr>
        <w:t>Term Loan Facility, 3</w:t>
      </w:r>
      <w:r>
        <w:rPr>
          <w:rFonts w:ascii="Times New Roman;serif" w:hAnsi="Times New Roman;serif"/>
          <w:b w:val="false"/>
          <w:color w:val="000000"/>
          <w:sz w:val="20"/>
        </w:rPr>
        <w:t xml:space="preserve">.50% FLSO Senior Secured Notes, </w:t>
      </w:r>
      <w:r>
        <w:rPr>
          <w:rFonts w:ascii="Times New Roman;serif" w:hAnsi="Times New Roman;serif"/>
          <w:b w:val="false"/>
          <w:color w:val="000000"/>
          <w:sz w:val="20"/>
          <w:shd w:fill="FFFFFF" w:val="clear"/>
        </w:rPr>
        <w:t xml:space="preserve">5.375% Senior Notes, and 3.50% Senior Secured Notes. The Revolving Credit Facility provides for up to $375 million of borrowings, $150 million of which was drawn and outstanding as of March 31, 2026. Our liquidity requirements are significant, primarily due to debt service requirements.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Senior Facilities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Holdings, LLC (“Rackspace Finance Holdings”), Rackspace Finance, LLC (“Rackspace Finance”), the lenders and issuing banks party thereto and Citibank, N.A., as the administrative agent and collateral agent, entered into the credit agreement governing the FLSO Term Loan Facility, FLFO Term Loan Facility and Revolving Credit Facility (together, the “Senior Facilities”) (the “First Lien Credit Agreement”).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- 38 -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FLSO Term Loan Facility</w:t>
      </w:r>
    </w:p>
    <w:p>
      <w:pPr>
        <w:pStyle w:val="TextBody"/>
        <w:bidi w:val="0"/>
        <w:spacing w:before="0" w:after="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Finance issued the FLSO Term Loan Facility in an aggregate principal amount of $1,687 million. The FLSO Term Loan Facility matures on May 15, 2028. </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March 31, 2026, the contractual interest rate on the FLSO Term Loan Facility was 6.54%. We are required to make quarterly principal payments of $4 million</w:t>
      </w:r>
      <w:r>
        <w:rPr>
          <w:rFonts w:ascii="Times New Roman;serif" w:hAnsi="Times New Roman;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March 31, 2026, $1,606 million</w:t>
      </w:r>
      <w:r>
        <w:rPr>
          <w:color w:val="000000"/>
          <w:shd w:fill="FFFFFF" w:val="clear"/>
        </w:rPr>
        <w:t xml:space="preserve"> </w:t>
      </w:r>
      <w:r>
        <w:rPr>
          <w:rFonts w:ascii="Times New Roman;serif" w:hAnsi="Times New Roman;serif"/>
          <w:b w:val="false"/>
          <w:color w:val="000000"/>
          <w:sz w:val="20"/>
          <w:shd w:fill="FFFFFF" w:val="clear"/>
        </w:rPr>
        <w:t>in aggregate</w:t>
      </w:r>
      <w:r>
        <w:rPr>
          <w:color w:val="000000"/>
        </w:rPr>
        <w:t xml:space="preserve"> </w:t>
      </w:r>
      <w:r>
        <w:rPr>
          <w:rFonts w:ascii="Times New Roman;serif" w:hAnsi="Times New Roman;serif"/>
          <w:b w:val="false"/>
          <w:color w:val="000000"/>
          <w:sz w:val="20"/>
        </w:rPr>
        <w:t>principal amount of the FLSO Term Loan Facility remained outstanding.</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FLFO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Rackspace Finance issued the FLFO Term Loan Facility in an aggregate principal amount $275 million. The FLFO Term Loan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March 31, 2026, the contractual interest rate on the FLFO Term Loan Facility was 10.04%. We are required to make quarterly principal payments of $0.7 million</w:t>
      </w:r>
      <w:r>
        <w:rPr>
          <w:rFonts w:ascii="Times New Roman;serif" w:hAnsi="Times New Roman;serif"/>
          <w:b w:val="false"/>
          <w:color w:val="000000"/>
          <w:sz w:val="20"/>
          <w:shd w:fill="FFFFFF" w:val="clear"/>
        </w:rPr>
        <w: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As of March 31, 2026, $270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FLFO Term Loan Facility remained outstanding.</w:t>
      </w:r>
    </w:p>
    <w:p>
      <w:pPr>
        <w:pStyle w:val="TextBody"/>
        <w:bidi w:val="0"/>
        <w:spacing w:before="0" w:after="0"/>
        <w:ind w:left="0" w:right="0" w:firstLine="540"/>
        <w:jc w:val="both"/>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Revolving Credit Facility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Rackspace Finance established the Revolving Credit Facility in an aggregate principal amount of $375 million of commitments. The Revolving Credit Facility matures on May 15, 2028.</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Revolving Credit Facility includes a commitment fee equal to 0.50% per annum in respect of the unused commitments that is due quarterly. This fee is subject to one step-down based on the net first lien leverage ratio.</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 xml:space="preserve">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we had total commitments of $375 million, $150 million of outstanding borrowings under the Revolving Credit Facility, and $24 million of letters of credit issued thereunder. As such, as of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xml:space="preserve">, we had $202 million of available commitments remaining.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FLSO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March 12, 2024, Rackspace Finance issued $267 million initial aggregate principal amount of 3.50% FLSO Senior Secured Notes. On April 2, 2024 and April 16, 2024, Rackspace Finance issued additional 3.50% FLSO Senior Secured Notes in an aggregate principal amount of $93 million and $4 million, respectively The 3.50% FLSO Senior Secured Notes will mature on May 15, 2028 and bear interest at an annual fixed rate of 3.50%. Interest is payable semiannually on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and surrendered for cancellation $68 million aggregate principal amount of the 3.50% FLSO Senior Secured Notes for $35 million, including accrued interest and fees of $0.4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March 31, 2026, $250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FLSO Senior Secured Notes were outstanding.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Term Loan Facility</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we amended and restated the credit agreement governing the $2,300 million senior secured first lien term loan facility (the "Term Loan Facility"). The Term Loan Facility matures on February 15, 2028.</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- 39 -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pPr>
      <w:r>
        <w:rPr>
          <w:rFonts w:ascii="Times New Roman;serif" w:hAnsi="Times New Roman;serif"/>
          <w:b w:val="false"/>
          <w:color w:val="000000"/>
          <w:sz w:val="20"/>
          <w:shd w:fill="FFFFFF" w:val="clear"/>
        </w:rPr>
        <w:t xml:space="preserve">Interest on the Term Loan Facility is due at the end of each interest period elected, not exceeding 90 days, for SOFR loans and at the end of every calendar quarter for base rate loans. As of March 31, 2026, the contractual interest rate on the Term Loan Facility was 6.54%. </w:t>
      </w:r>
      <w:r>
        <w:rPr>
          <w:rFonts w:ascii="Times New Roman;serif" w:hAnsi="Times New Roman;serif"/>
          <w:b w:val="false"/>
          <w:color w:val="000000"/>
          <w:sz w:val="20"/>
        </w:rPr>
        <w:t>We are required to make quarterly amortization payments of $0.2 million. We are required to make certain mandatory prepayments under certain conditions defined in the credit agreement governing the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March 31, 2026, $61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Term Loan Facility remained outstanding.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3.50% Senior Secured Notes due 2028</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On February 9, 2021, Rackspace Technology Global issued $550 million aggregate principal amount of 3.50% Senior Secured Notes. The 3.50% Senior Secured Notes will mature on February 15, 2028 and bear interest at an annual fixed rate of 3.50%. Interest is payable semiannually on February 15 and August 15.</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and surrendered for cancellation $1.3 million aggregate principal amount of the 3.50% Senior Secured Notes for $0.6 million.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March 31, 2026, $43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3.50% Senior Secured Notes remained outstanding.</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5.375% Senior Notes due 2028</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Rackspace Technology Global issued $550 million aggregate principal amount of the 5.375% Senior Notes on December 1, 2020. The 5.375% Senior Notes will mature on December 1, 2028 and bear interest at a fixed rate of 5.375% per year, payable semi-annually on June 1 and December 1.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we repurchased and surrendered for cancellation $27 million aggregate principal amount of the 5.375% Senior Notes for $11 million, including accrued interest and fees of $0.5 million.</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As of March 31, 2026, $99 million</w:t>
      </w:r>
      <w:r>
        <w:rPr>
          <w:color w:val="000000"/>
          <w:shd w:fill="FFFFFF" w:val="clear"/>
        </w:rPr>
        <w:t xml:space="preserve"> </w:t>
      </w:r>
      <w:r>
        <w:rPr>
          <w:rFonts w:ascii="Times New Roman;serif" w:hAnsi="Times New Roman;serif"/>
          <w:b w:val="false"/>
          <w:color w:val="000000"/>
          <w:sz w:val="20"/>
          <w:shd w:fill="FFFFFF" w:val="clear"/>
        </w:rPr>
        <w:t>aggregate</w:t>
      </w:r>
      <w:r>
        <w:rPr>
          <w:color w:val="000000"/>
        </w:rPr>
        <w:t xml:space="preserve"> </w:t>
      </w:r>
      <w:r>
        <w:rPr>
          <w:rFonts w:ascii="Times New Roman;serif" w:hAnsi="Times New Roman;serif"/>
          <w:b w:val="false"/>
          <w:color w:val="000000"/>
          <w:sz w:val="20"/>
        </w:rPr>
        <w:t>principal amount of the 5.375% Senior Notes remained outstanding.</w:t>
      </w:r>
      <w:r>
        <w:rPr>
          <w:color w:val="000000"/>
        </w:rPr>
        <w:t xml:space="preserve"> </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Subsequent Debt Repurchases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and through May 8, 2026, we repurchased and surrendered for cancellation an additional $11 million aggregate principal amount of 3.50% FLSO Senior Secured Notes and 5.375% Senior Notes for $5 million, including accrued interest and fees of $0.2 million.</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Debt covenants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FLSO Term Loan Facility, FLFO Term Loan Facility, and Term Loan Facility are not subject to a financial maintenance covenant. The Revolving Credit Facility includes a financial maintenance covenant that limits the super-priority net senior secured leverage ratio to a maximum of 5.00 to 1.00. The super-priority net senior secured leverage ratio is calculated as the ratio of (x) the total amount of consolidated super-priority senior secured debt for borrowed money, less unrestricted cash and cash equivalents, to (y) consolidated EBITDA (as defined under the First Lien Credit Agreement governing the Senior Facilities). However, this financial maintenance covenant will only be applicable and tested if the aggregate amount of outstanding borrowings under the Revolving Credit Facility and letters of credit issued thereunder (excluding $25 million of undrawn letters of credit and cash collateralized letters of credit) as of the last day of a fiscal quarter is greater than 35% of the Revolving Credit Facility commitments as of the last day of such fiscal quarter. Additional covenants in the Senior Facilities and Term Loan Facility limit our subsidiaries' ability to, among other things, incur certain additional debt and liens, pay certain dividends or make other restricted payments, make certain investments, make certain asset sales and enter into certain transactions with affiliates.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- 40 -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Indentures contain covenants that, among other things, limit our subsidiaries' ability to incur certain additional debt, incur certain liens securing debt, pay certain dividends or make other restricted payments, make certain investments, make certain asset sales and enter into certain transactions with affiliates. These covenants are subject to a number of exceptions, limitations, and qualifications as set forth in the Indentures. Additionally, upon the occurrence of a change of control (as defined in the Indentures), we will be required to make an offer to repurchase all of the outstanding 3.50% FLSO Senior Secured Notes, 5.375% Senior Notes and 3.50% Senior Secured Notes, respectively, at a price in cash equal to 101.000% of the aggregate principal amount, plus accrued and unpaid interest, if any, to, but not including the purchase date.</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"consolidated EBITDA," as defined under our debt instruments, is calculated in the same manner as our Adjusted EBITDA, presented elsewhere in this report, except that our debt instruments allow us to adjust for additional items, including certain start-up costs, and to give pro forma effect to acquisitions, including resulting synergies, and internal cost savings initiatives. In addition, under the Indentures, the calculation of consolidated EBITDA does not take into account any changes in GAAP subsequent to the date of issuance, whereas under the Senior Facilities and Term Loan Facility, the calculation of consolidated EBITDA takes into account the impact of certain changes in GAAP subsequent to December 1, 2020 other than with respect to capital leases.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we were in compliance with all covenants under the Senior Facilities, the credit agreement governing the Term Loan Facility, and the Indentures.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Supplemental Financial Information</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In accordance with the 3.50% FLSO Senior Secured Notes Indenture, Rackspace Finance Holdings, Rackspace Finance and certain subsidiaries of Rackspace Finance (together with their restricted subsidiaries, the “New Credit Group”) are obligors under the 3.50% FLSO Senior Secured Notes. The following presents summarized financial information for the New Credit Group after eliminating intercompany transactions and balances among the New Credit Group. </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March 31, 2026, the New Credit Group had total assets of $2,765 million and total liabilities of $3,781 million, which included total debt of $2,507 million. The financial information for the New Credit Group differs from the financial information for the company and its consolidated subsidiaries primarily because Rackspace Technology Global has debt that is not guaranteed by the New Credit Group, which debt was $201 million as of March 31, 2026.</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Capital Expenditures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our total capital expenditures for the periods indicated:</w:t>
      </w:r>
    </w:p>
    <w:tbl>
      <w:tblPr>
        <w:tblW w:w="5486" w:type="dxa"/>
        <w:jc w:val="center"/>
        <w:tblInd w:w="0" w:type="dxa"/>
        <w:tblLayout w:type="fixed"/>
        <w:tblCellMar>
          <w:top w:w="28" w:type="dxa"/>
          <w:left w:w="28" w:type="dxa"/>
          <w:bottom w:w="28" w:type="dxa"/>
          <w:right w:w="28" w:type="dxa"/>
        </w:tblCellMar>
      </w:tblPr>
      <w:tblGrid>
        <w:gridCol w:w="1040"/>
        <w:gridCol w:w="911"/>
        <w:gridCol w:w="914"/>
        <w:gridCol w:w="268"/>
        <w:gridCol w:w="639"/>
        <w:gridCol w:w="149"/>
        <w:gridCol w:w="149"/>
        <w:gridCol w:w="149"/>
        <w:gridCol w:w="149"/>
        <w:gridCol w:w="268"/>
        <w:gridCol w:w="639"/>
        <w:gridCol w:w="211"/>
      </w:tblGrid>
      <w:tr>
        <w:trPr/>
        <w:tc>
          <w:tcPr>
            <w:tcW w:w="104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gear</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Data center build outs</w:t>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44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 and other projects</w:t>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capital expenditures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Capital expenditures were $35 million in the three months ended March 31, 2026, compared to $27 million in the three months ended March 31, 2025, an increase of $8 million. The increase in capital expenditures was driven by customer gear purchases related to new contract deployments and higher software license spend between periods.</w:t>
      </w:r>
    </w:p>
    <w:p>
      <w:pPr>
        <w:pStyle w:val="TextBody"/>
        <w:bidi w:val="0"/>
        <w:spacing w:before="0" w:after="0"/>
        <w:ind w:left="0" w:right="0" w:firstLine="5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- 41 -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certain cash flow information for the periods indicated: </w:t>
      </w:r>
    </w:p>
    <w:tbl>
      <w:tblPr>
        <w:tblW w:w="5365" w:type="dxa"/>
        <w:jc w:val="left"/>
        <w:tblInd w:w="0" w:type="dxa"/>
        <w:tblLayout w:type="fixed"/>
        <w:tblCellMar>
          <w:top w:w="28" w:type="dxa"/>
          <w:left w:w="28" w:type="dxa"/>
          <w:bottom w:w="28" w:type="dxa"/>
          <w:right w:w="28" w:type="dxa"/>
        </w:tblCellMar>
      </w:tblPr>
      <w:tblGrid>
        <w:gridCol w:w="995"/>
        <w:gridCol w:w="873"/>
        <w:gridCol w:w="876"/>
        <w:gridCol w:w="249"/>
        <w:gridCol w:w="688"/>
        <w:gridCol w:w="138"/>
        <w:gridCol w:w="138"/>
        <w:gridCol w:w="138"/>
        <w:gridCol w:w="138"/>
        <w:gridCol w:w="249"/>
        <w:gridCol w:w="688"/>
        <w:gridCol w:w="195"/>
      </w:tblGrid>
      <w:tr>
        <w:trPr/>
        <w:tc>
          <w:tcPr>
            <w:tcW w:w="99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millions)</w:t>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Provided by Operating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results primarily from cash received from customers, offset by cash payments made for employee and consultant compensation (less amounts capitalized related to internal-use software that are reflected as cash used in investing activities), data center costs, license costs, third-party infrastructure costs, marketing programs, interest, taxes, and other general corporate expenditures.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Net cash provided by operating activities was $5 million in the three months ended March 31, 2026 compared to </w:t>
      </w:r>
      <w:r>
        <w:rPr>
          <w:rFonts w:ascii="Times New Roman;serif" w:hAnsi="Times New Roman;serif"/>
          <w:b w:val="false"/>
          <w:color w:val="000000"/>
          <w:sz w:val="20"/>
          <w:shd w:fill="FFFFFF" w:val="clear"/>
        </w:rPr>
        <w:t xml:space="preserve">$13 million in the three months ended March 31, 2025. The decrease in operating cash between periods was primarily driven by an increase of $47 million of cash paid for operating expenses in the </w:t>
      </w:r>
      <w:r>
        <w:rPr>
          <w:rFonts w:ascii="Times New Roman;serif" w:hAnsi="Times New Roman;serif"/>
          <w:b w:val="false"/>
          <w:color w:val="000000"/>
          <w:sz w:val="20"/>
        </w:rPr>
        <w:t>three months ended March 31, 2026</w:t>
      </w:r>
      <w:r>
        <w:rPr>
          <w:color w:val="000000"/>
          <w:shd w:fill="FFFFFF" w:val="clear"/>
        </w:rPr>
        <w:t xml:space="preserve"> </w:t>
      </w:r>
      <w:r>
        <w:rPr>
          <w:rFonts w:ascii="Times New Roman;serif" w:hAnsi="Times New Roman;serif"/>
          <w:b w:val="false"/>
          <w:color w:val="000000"/>
          <w:sz w:val="20"/>
          <w:shd w:fill="FFFFFF" w:val="clear"/>
        </w:rPr>
        <w:t xml:space="preserve">compared to the </w:t>
      </w:r>
      <w:r>
        <w:rPr>
          <w:rFonts w:ascii="Times New Roman;serif" w:hAnsi="Times New Roman;serif"/>
          <w:b w:val="false"/>
          <w:color w:val="000000"/>
          <w:sz w:val="20"/>
        </w:rPr>
        <w:t>three months ended March 31, 2025</w:t>
      </w:r>
      <w:r>
        <w:rPr>
          <w:rFonts w:ascii="Times New Roman;serif" w:hAnsi="Times New Roman;serif"/>
          <w:b w:val="false"/>
          <w:color w:val="000000"/>
          <w:sz w:val="20"/>
          <w:shd w:fill="FFFFFF" w:val="clear"/>
        </w:rPr>
        <w:t>. Additionally, there was a decrease in c</w:t>
      </w:r>
      <w:r>
        <w:rPr>
          <w:rFonts w:ascii="Times New Roman;serif" w:hAnsi="Times New Roman;serif"/>
          <w:b w:val="false"/>
          <w:color w:val="000000"/>
          <w:sz w:val="20"/>
        </w:rPr>
        <w:t xml:space="preserve">ash proceeds related to accounts receivable sold </w:t>
      </w:r>
      <w:r>
        <w:rPr>
          <w:rFonts w:ascii="Times New Roman;serif" w:hAnsi="Times New Roman;serif"/>
          <w:b w:val="false"/>
          <w:color w:val="000000"/>
          <w:sz w:val="20"/>
          <w:shd w:fill="FFFFFF" w:val="clear"/>
        </w:rPr>
        <w:t xml:space="preserve">of $2 million in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2026</w:t>
      </w:r>
      <w:r>
        <w:rPr>
          <w:color w:val="000000"/>
          <w:shd w:fill="FFFFFF" w:val="clear"/>
        </w:rPr>
        <w:t xml:space="preserve"> </w:t>
      </w:r>
      <w:r>
        <w:rPr>
          <w:rFonts w:ascii="Times New Roman;serif" w:hAnsi="Times New Roman;serif"/>
          <w:b w:val="false"/>
          <w:color w:val="000000"/>
          <w:sz w:val="20"/>
          <w:shd w:fill="FFFFFF" w:val="clear"/>
        </w:rPr>
        <w:t xml:space="preserve">compared to an increase of $7 million in the </w:t>
      </w:r>
      <w:r>
        <w:rPr>
          <w:rFonts w:ascii="Times New Roman;serif" w:hAnsi="Times New Roman;serif"/>
          <w:b w:val="false"/>
          <w:color w:val="000000"/>
          <w:sz w:val="20"/>
        </w:rPr>
        <w:t>three</w:t>
      </w:r>
      <w:r>
        <w:rPr>
          <w:color w:val="000000"/>
          <w:shd w:fill="FFFFFF" w:val="clear"/>
        </w:rPr>
        <w:t xml:space="preserve"> </w:t>
      </w:r>
      <w:r>
        <w:rPr>
          <w:rFonts w:ascii="Times New Roman;serif" w:hAnsi="Times New Roman;serif"/>
          <w:b w:val="false"/>
          <w:color w:val="000000"/>
          <w:sz w:val="20"/>
          <w:shd w:fill="FFFFFF" w:val="clear"/>
        </w:rPr>
        <w:t xml:space="preserve">months ended </w:t>
      </w:r>
      <w:r>
        <w:rPr>
          <w:rFonts w:ascii="Times New Roman;serif" w:hAnsi="Times New Roman;serif"/>
          <w:b w:val="false"/>
          <w:color w:val="000000"/>
          <w:sz w:val="20"/>
        </w:rPr>
        <w:t>March 31,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These decreases in cash from operating activities were partially offset by an increase in cash receipts from customers between periods.</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Investing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primarily consists of capital expenditures to meet the demands of our customer base and our strategic initiatives. The largest outlays of cash are for purchases of customer gear, data center and office build outs, and capitalized payroll costs related to internal-use software development.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 increased $3 million, or 31%, in the three months ended March 31, 2026 compared to the three months ended March 31, 2025 primarily due to a $6 million increase in cash purchases of property, equipment, and software between periods, partially offset by cash proceeds from the disposal of non-core assets in the current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Used in Financing Activities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Financing activities generally include cash activity related to debt and other long-term financing arrangements (for example, finance lease obligations and financing obligations), including proceeds from and repayments of borrowings, and cash activity related to the issuance and repurchase of equity.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financing activities decreased $17 million, or 80%, in the three months ended March 31, 2026 compared to the three months ended March 31, 2025. The change was primarily driven by a $95 million increase in borrowings on the Revolving Credit Facility, partially offset by an increase in debt repayments of $78 million between periods. </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critical accounting policies and estimates have not changed from those described in our Annual Report under "Management's Discussion and Analysis of Financial Condition and Results of Operations - Critical Accounting Policies and Estimates." For a description of recent accounting pronouncements, see Item 1 of Part I, Financial Statements - Note 1, "Company Overview, Basis of Presentation, and Summary of Significant Accounting Policies."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- 42 -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QUANTITATIVE AND QUALITATIVE DISCLOSURES ABOUT MARKET RISK</w:t>
      </w:r>
    </w:p>
    <w:p>
      <w:pPr>
        <w:pStyle w:val="TextBody"/>
        <w:bidi w:val="0"/>
        <w:spacing w:before="0" w:after="0"/>
        <w:ind w:left="0" w:right="0" w:firstLine="54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 xml:space="preserve">We are exposed to interest rate risk associated with fluctuations in interest rates on our floating-rate Senior Facilities, which includes our $375 million Revolving Credit Facility and $1,875 million outstanding under the FLSO Term Loan Facility and FLFO Term Loan Facility, and $61 million outstanding under our floating-rate Term Loan Facility. As of March 31, 2026, there was $150 million of </w:t>
      </w:r>
      <w:r>
        <w:rPr>
          <w:rFonts w:ascii="Times New Roman;serif" w:hAnsi="Times New Roman;serif"/>
          <w:b w:val="false"/>
          <w:color w:val="000000"/>
          <w:sz w:val="20"/>
          <w:shd w:fill="FFFFFF" w:val="clear"/>
        </w:rPr>
        <w:t>out</w:t>
      </w:r>
      <w:r>
        <w:rPr>
          <w:rFonts w:ascii="Times New Roman;serif" w:hAnsi="Times New Roman;serif"/>
          <w:b w:val="false"/>
          <w:color w:val="000000"/>
          <w:sz w:val="20"/>
        </w:rPr>
        <w:t>standing borrowings under the Revolving Credit Facility. As of March 31, 2026, assuming the Revolving Credit Facility was fully drawn, each 0.125% change in assumed blended interest rates would res</w:t>
      </w:r>
      <w:r>
        <w:rPr>
          <w:rFonts w:ascii="Times New Roman;serif" w:hAnsi="Times New Roman;serif"/>
          <w:b w:val="false"/>
          <w:color w:val="000000"/>
          <w:sz w:val="20"/>
          <w:shd w:fill="FFFFFF" w:val="clear"/>
        </w:rPr>
        <w:t>ult in a $3 million cha</w:t>
      </w:r>
      <w:r>
        <w:rPr>
          <w:rFonts w:ascii="Times New Roman;serif" w:hAnsi="Times New Roman;serif"/>
          <w:b w:val="false"/>
          <w:color w:val="000000"/>
          <w:sz w:val="20"/>
        </w:rPr>
        <w:t>nge in annual interest expense on indebtedness under the Senior Facilities and Term Loan Facility.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Term Loan Facility, FLSO Term Loan Facility, and FLFO Term Loan Facility bear interest at an annual rate equal to an applicable margin plus one-month Term SOFR, subject to a 0.75% floor. We have in the past and may in the future enter into interest rate swap agreements to manage our risk from fluctuations in one-month Term SOFR above the 0.75% floor.</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Foreign Currencies </w:t>
      </w:r>
    </w:p>
    <w:p>
      <w:pPr>
        <w:pStyle w:val="TextBody"/>
        <w:bidi w:val="0"/>
        <w:spacing w:before="0" w:after="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subject to foreign currency translation risk due to the translation of the results of our subsidiaries from their respective functional currencies to the U.S. dollar, our functional currency. As a result, we discuss our revenue on a constant currency as well as actual basis, highlighting our sensitivity to changes in foreign exchange rates. See "</w:t>
      </w:r>
      <w:r>
        <w:rPr>
          <w:rFonts w:ascii="Times New Roman;serif" w:hAnsi="Times New Roman;serif"/>
          <w:b w:val="false"/>
          <w:i/>
          <w:color w:val="000000"/>
          <w:sz w:val="20"/>
        </w:rPr>
        <w:t>Constant Currency Revenue</w:t>
      </w:r>
      <w:r>
        <w:rPr>
          <w:rFonts w:ascii="Times New Roman;serif" w:hAnsi="Times New Roman;serif"/>
          <w:b w:val="false"/>
          <w:color w:val="000000"/>
          <w:sz w:val="20"/>
        </w:rPr>
        <w:t xml:space="preserve">." While the majority of our customers are invoiced, and the majority of our expenses are paid, by us or our subsidiaries in their respective functional currencies, we also have exposure to foreign currency transaction gains and losses as the result of certain receivables due from our foreign subsidiaries. As such, the results of operations and cash flows of our foreign subsidiaries are subject to fluctuations in foreign currency exchange rates. In the three months ended March 31, 2026, we recognized foreign currency transaction gains </w:t>
      </w:r>
      <w:r>
        <w:rPr>
          <w:rFonts w:ascii="Times New Roman;serif" w:hAnsi="Times New Roman;serif"/>
          <w:b w:val="false"/>
          <w:color w:val="000000"/>
          <w:sz w:val="20"/>
          <w:shd w:fill="FFFFFF" w:val="clear"/>
        </w:rPr>
        <w:t>of $1 million wit</w:t>
      </w:r>
      <w:r>
        <w:rPr>
          <w:rFonts w:ascii="Times New Roman;serif" w:hAnsi="Times New Roman;serif"/>
          <w:b w:val="false"/>
          <w:color w:val="000000"/>
          <w:sz w:val="20"/>
        </w:rPr>
        <w:t>hin "Other expense, net" in our Condensed Consolidated Statements of Comprehensive Loss. As we grow our international operations, our exposure to foreign currency translation and transaction risk could become more significant.</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in the past and may in the future enter into foreign currency hedging instruments to limit our exposure to foreign currency risk.</w:t>
      </w:r>
    </w:p>
    <w:p>
      <w:pPr>
        <w:pStyle w:val="TextBody"/>
        <w:bidi w:val="0"/>
        <w:spacing w:before="0" w:after="0"/>
        <w:ind w:left="0" w:right="0" w:firstLine="54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Power Prices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color w:val="000000"/>
          <w:sz w:val="20"/>
        </w:rPr>
        <w:t>We are a large consumer of power. In the three months ended March 31, 2026, we expensed a</w:t>
      </w:r>
      <w:r>
        <w:rPr>
          <w:rFonts w:ascii="Times New Roman;serif" w:hAnsi="Times New Roman;serif"/>
          <w:b w:val="false"/>
          <w:color w:val="000000"/>
          <w:sz w:val="20"/>
          <w:shd w:fill="FFFFFF" w:val="clear"/>
        </w:rPr>
        <w:t>pproximately $9 million for utility companies to power our data centers, representing approximately 1% of our revenue. Power costs vary by geography, the source of power generation and seasonal fluctuations and are subject to certain proposed legislation and geopolitical tensions that may increase our exposure to increased power costs. We have power contracts for data centers in</w:t>
      </w:r>
      <w:r>
        <w:rPr>
          <w:color w:val="000000"/>
        </w:rPr>
        <w:t xml:space="preserve"> </w:t>
      </w:r>
      <w:r>
        <w:rPr>
          <w:rFonts w:ascii="Times New Roman;serif" w:hAnsi="Times New Roman;serif"/>
          <w:b w:val="false"/>
          <w:color w:val="000000"/>
          <w:sz w:val="20"/>
        </w:rPr>
        <w:t>the Dallas-Fort Worth, San Jose, Somerset, New Jersey and London areas that allow us to procure power either on a fixed price or on a variable price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- 43 -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CONTROLS AND PROCEDURES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amended, as of the end of the period covered by this Quarterly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controls over financial reporting during our most recent fiscal quarter reporting period identified in connection with management's evaluation that have materially affected, or are reasonably likely to materially affect, our internal control over financial reporting.</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Inherent Limitations of Internal Controls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Our management, including our Chief Executive Officer and Chief Financial Officer, does not expect that our disclosure controls and procedures or our internal controls will prevent all error and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- 44 -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 – LEGAL PROCEEDINGS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From time to time, we are subject to various legal proceedings, claims, inquiries, investigations, demands or other disputes arising in the ordinary course of our business. These matters include, among other things, commercial disputes (including contract interpretation, service level performance, billing disputes, customer service issues and similar matters), employment and labor claims, intellectual property disputes (including third-party claims by both operating companies and non-practicing entities alleging that our offerings, services, or technologies infringe, misappropriate, or otherwise violate the intellectual property or proprietary rights of others or that our use of third-party software (including open source components) violates copyright, licensing obligations or trade secret rights), and regulatory inquiries. In addition, we may receive requests for information, subpoenas, or be subject to investigations by governmental authorities relating to areas such as privacy, data protection, cybersecurity, competition/antitrust, and export controls and sanctions, among others.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record accruals for loss contingencies when losses are considered probable and can be reasonably estimated. Because litigation and regulatory matters are inherently unpredictable, the amount that may ultimately be paid could differ from our recorded accruals and the timing of such payments is uncertain. It is reasonably possible that losses in excess of recorded amounts could be material in a particular period. Additional information about our loss contingencies is included in Item 1 of Part I, Financial Statements - Note 8, "Commitments and Contingencies." We maintain insurance for certain claims and losses; however, coverage may not be available for all matters and is subject to deductibles, exclusions, and policy limits.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Based on current information, we are not party to any pending litigation that would, if determined adversely to us, individually or in the aggregate be reasonably expected to have a material adverse effect on our business, financial condition, results of operations, or cash flows. However, litigation is inherently uncertain, and adverse developments or outcomes could potentially result in significant monetary damages or injunctive relief. We expense legal fees as incurred.</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For a discussion of risks related to intellectual property claims, data security, privacy and cybersecurity, regulatory compliance and other legal exposures, see "Risk Factors" in our Annual Report.</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1A – RISK FACTORS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We have disclosed under the heading "Risk Factors" in our Annual Report the risk factors which materially affect our business, financial condition or results of operations. There have been no material changes from the risk factors previously disclosed. You should carefully consider the risk factors set forth in our Annual Report and the other information set forth elsewhere in this Quarterly Report on Form 10-Q.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ITEM 2 – UNREGISTERED SALES OF EQUITY SECURITIES AND USE OF PROCEEDS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Unregistered Sales of Equity Securities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Use of Proceeds </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None.</w:t>
      </w: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3 – DEFAULTS UPON SENIOR SECURITIES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4 – MINE SAFETY DISCLOSURES</w:t>
      </w:r>
    </w:p>
    <w:p>
      <w:pPr>
        <w:pStyle w:val="TextBody"/>
        <w:bidi w:val="0"/>
        <w:spacing w:before="0" w:after="0"/>
        <w:jc w:val="center"/>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- 45 -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ITEM 5 – OTHER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Rule 10b5-1 Trading Arrangements</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quarter ended March 31, 2026, the following director and officers (as defined in Rule 16a-1(f) of the Exchange Act) adopted a trading arrangement for the purchase or sale of securities of the company that is intended to satisfy the affirmative defense conditions of Rule 10b5-1(c) of the Exchange Act (“Rule 10b5-1 Plan”):</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shd w:fill="FFFFFF" w:val="clear"/>
        </w:rPr>
        <w:t xml:space="preserve">Gajen Kandiah, Chief Executive Officer. </w:t>
      </w:r>
      <w:r>
        <w:rPr>
          <w:rFonts w:ascii="Times New Roman;serif" w:hAnsi="Times New Roman;serif"/>
          <w:b w:val="false"/>
          <w:color w:val="000000"/>
          <w:sz w:val="20"/>
          <w:shd w:fill="FFFFFF" w:val="clear"/>
        </w:rPr>
        <w:t>On March 17, 2026, Mr. Kandiah adopted a Rule 10b5-1 Plan in the form of a durable sell-to-cover instruction which provides for the sale of shares of common stock necessary to satisfy tax withholding obligations incurred in connection with the vesting or settlement of restricted stock units previously granted or that could in the future be granted by the company (whether vesting is based on the passage of time or the achievement of performance goals). The total number of shares of common stock that may be sold pursuant to the sell-to-cover instruction is not determinable and the sell-to-cover instructions will remain in place indefinitely unless revoked in writing.</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pPr>
      <w:r>
        <w:rPr>
          <w:rFonts w:ascii="Times New Roman;serif" w:hAnsi="Times New Roman;serif"/>
          <w:b w:val="false"/>
          <w:i/>
          <w:color w:val="000000"/>
          <w:sz w:val="20"/>
          <w:shd w:fill="FFFFFF" w:val="clear"/>
        </w:rPr>
        <w:t xml:space="preserve">Kellie Teal-Guess, Executive Vice President and Chief Human Resources Officer. </w:t>
      </w:r>
      <w:r>
        <w:rPr>
          <w:rFonts w:ascii="Times New Roman;serif" w:hAnsi="Times New Roman;serif"/>
          <w:b w:val="false"/>
          <w:color w:val="000000"/>
          <w:sz w:val="20"/>
          <w:shd w:fill="FFFFFF" w:val="clear"/>
        </w:rPr>
        <w:t>On March 17, 2026, Ms. Teal-Guess adopted a Rule 10b5-1 Plan under which an aggregate of 200,000 shares of common stock may be sold prior to the expiration of the Rule 10b5-1 Plan on March 17,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- 46 -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 EXHIBITS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5"/>
        <w:gridCol w:w="213"/>
        <w:gridCol w:w="213"/>
        <w:gridCol w:w="193"/>
        <w:gridCol w:w="193"/>
        <w:gridCol w:w="194"/>
        <w:gridCol w:w="109"/>
        <w:gridCol w:w="109"/>
        <w:gridCol w:w="109"/>
        <w:gridCol w:w="2556"/>
        <w:gridCol w:w="2514"/>
        <w:gridCol w:w="3517"/>
      </w:tblGrid>
      <w:tr>
        <w:trPr/>
        <w:tc>
          <w:tcPr>
            <w:tcW w:w="28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2514" w:type="dxa"/>
            <w:tcBorders/>
            <w:vAlign w:val="center"/>
          </w:tcPr>
          <w:p>
            <w:pPr>
              <w:pStyle w:val="TableContents"/>
              <w:bidi w:val="0"/>
              <w:spacing w:before="0" w:after="283"/>
              <w:jc w:val="left"/>
              <w:rPr>
                <w:sz w:val="4"/>
                <w:szCs w:val="4"/>
              </w:rPr>
            </w:pPr>
            <w:r>
              <w:rPr>
                <w:sz w:val="4"/>
                <w:szCs w:val="4"/>
              </w:rPr>
            </w:r>
          </w:p>
        </w:tc>
        <w:tc>
          <w:tcPr>
            <w:tcW w:w="3517" w:type="dxa"/>
            <w:tcBorders/>
            <w:vAlign w:val="center"/>
          </w:tcPr>
          <w:p>
            <w:pPr>
              <w:pStyle w:val="TableContents"/>
              <w:bidi w:val="0"/>
              <w:spacing w:before="0" w:after="283"/>
              <w:jc w:val="left"/>
              <w:rPr>
                <w:sz w:val="4"/>
                <w:szCs w:val="4"/>
              </w:rPr>
            </w:pPr>
            <w:r>
              <w:rPr>
                <w:sz w:val="4"/>
                <w:szCs w:val="4"/>
              </w:rPr>
            </w:r>
          </w:p>
        </w:tc>
      </w:tr>
      <w:tr>
        <w:trPr/>
        <w:tc>
          <w:tcPr>
            <w:tcW w:w="129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Description</w:t>
            </w:r>
          </w:p>
        </w:tc>
      </w:tr>
      <w:tr>
        <w:trPr/>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5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pPr>
            <w:hyperlink w:anchor="rxt311q12026.htm">
              <w:r>
                <w:rPr>
                  <w:rStyle w:val="InternetLink"/>
                  <w:rFonts w:ascii="Times New Roman;serif" w:hAnsi="Times New Roman;serif"/>
                  <w:b w:val="false"/>
                  <w:color w:val="0000FF"/>
                  <w:sz w:val="20"/>
                  <w:u w:val="single"/>
                </w:rPr>
                <w:t>Certification of the Chief Executive Officer pursuant to Section 302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12q12026.htm">
              <w:r>
                <w:rPr>
                  <w:rStyle w:val="InternetLink"/>
                  <w:rFonts w:ascii="Times New Roman;serif" w:hAnsi="Times New Roman;serif"/>
                  <w:b w:val="false"/>
                  <w:color w:val="0000FF"/>
                  <w:sz w:val="20"/>
                  <w:u w:val="single"/>
                </w:rPr>
                <w:t>Certification of the Chief Financial Officer pursuant to Section 302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1q12026.htm">
              <w:r>
                <w:rPr>
                  <w:rStyle w:val="InternetLink"/>
                  <w:rFonts w:ascii="Times New Roman;serif" w:hAnsi="Times New Roman;serif"/>
                  <w:b w:val="false"/>
                  <w:color w:val="0000FF"/>
                  <w:sz w:val="20"/>
                  <w:u w:val="single"/>
                </w:rPr>
                <w:t>Certification of the Chief Executive Officer pursuant to Section 906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rxt322q12026.htm">
              <w:r>
                <w:rPr>
                  <w:rStyle w:val="InternetLink"/>
                  <w:rFonts w:ascii="Times New Roman;serif" w:hAnsi="Times New Roman;serif"/>
                  <w:b w:val="false"/>
                  <w:color w:val="0000FF"/>
                  <w:sz w:val="20"/>
                  <w:u w:val="single"/>
                </w:rPr>
                <w:t>Certification of the Chief Financial Officer pursuant to Section 906 of the Sarbanes-Oxley Act of 2002</w:t>
              </w:r>
            </w:hyperlink>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(the instance document does not appear in the Interactive Data File because its XBRL tags are embedded within the Inline XBRL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5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7"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288" w:before="0" w:after="0"/>
        <w:jc w:val="left"/>
        <w:rPr/>
      </w:pPr>
      <w:r>
        <w:rPr>
          <w:rFonts w:ascii="Times New Roman;serif" w:hAnsi="Times New Roman;serif"/>
          <w:b/>
          <w:color w:val="000000"/>
          <w:sz w:val="18"/>
        </w:rPr>
        <w:t>*    </w:t>
      </w:r>
      <w:r>
        <w:rPr>
          <w:rFonts w:ascii="Times New Roman;serif" w:hAnsi="Times New Roman;serif"/>
          <w:b w:val="false"/>
          <w:color w:val="000000"/>
          <w:sz w:val="18"/>
        </w:rPr>
        <w:t>Filed herewith.</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Furnished herewith.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- 47 -</w:t>
                      </w:r>
                    </w:p>
                  </w:txbxContent>
                </v:textbox>
                <w10:wrap type="none"/>
              </v:rect>
            </w:pict>
          </mc:Fallback>
        </mc:AlternateContent>
      </w:r>
    </w:p>
    <w:p>
      <w:pPr>
        <w:pStyle w:val="TextBody"/>
        <w:bidi w:val="0"/>
        <w:spacing w:lineRule="auto" w:line="288" w:before="0" w:after="0"/>
        <w:jc w:val="left"/>
        <w:rPr/>
      </w:pPr>
      <w:hyperlink w:anchor="i601f28b0d35e4c9687d01a42d0037247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240" w:after="283"/>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240" w:after="283"/>
        <w:ind w:left="0" w:right="0" w:firstLine="540"/>
        <w:jc w:val="left"/>
        <w:rPr/>
      </w:pPr>
      <w:r>
        <w:rPr/>
      </w:r>
    </w:p>
    <w:tbl>
      <w:tblPr>
        <w:tblW w:w="5483"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84"/>
        <w:gridCol w:w="484"/>
        <w:gridCol w:w="484"/>
        <w:gridCol w:w="589"/>
        <w:gridCol w:w="589"/>
        <w:gridCol w:w="83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RACKSPACE TECHNOLOGY,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- 48 -</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jc w:val="left"/>
        <w:rPr/>
      </w:pPr>
      <w:r>
        <w:rPr/>
      </w:r>
    </w:p>
    <w:tbl>
      <w:tblPr>
        <w:tblW w:w="526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OR 15d-14(a)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certify that:</w:t>
      </w:r>
    </w:p>
    <w:p>
      <w:pPr>
        <w:pStyle w:val="TextBody"/>
        <w:bidi w:val="0"/>
        <w:spacing w:before="0" w:after="0"/>
        <w:jc w:val="left"/>
        <w:rPr/>
      </w:pPr>
      <w:r>
        <w:rPr/>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Rackspace Technology, Inc.;</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450"/>
        <w:jc w:val="left"/>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w:t>
      </w:r>
      <w:r>
        <w:rPr>
          <w:rFonts w:ascii="Times New Roman;serif" w:hAnsi="Times New Roman;serif"/>
          <w:b w:val="false"/>
          <w:color w:val="000000"/>
          <w:sz w:val="20"/>
          <w:shd w:fill="FFFFFF" w:val="clear"/>
        </w:rPr>
        <w:t>during the period in which this report is being prepared;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45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20"/>
        <w:ind w:left="0" w:right="0" w:hanging="90"/>
        <w:jc w:val="left"/>
        <w:rPr/>
      </w:pPr>
      <w:r>
        <w:rPr/>
      </w:r>
    </w:p>
    <w:tbl>
      <w:tblPr>
        <w:tblW w:w="443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Gajen Kandiah, Chief Executive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March 31, 2026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5260" w:type="dxa"/>
        <w:jc w:val="righ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829"/>
        <w:gridCol w:w="829"/>
        <w:gridCol w:w="11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Gajen Kandiah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Director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before="0" w:after="0"/>
        <w:jc w:val="center"/>
        <w:rPr/>
      </w:pPr>
      <w:r>
        <w:rPr/>
      </w:r>
    </w:p>
    <w:p>
      <w:pPr>
        <w:pStyle w:val="TextBody"/>
        <w:bidi w:val="0"/>
        <w:spacing w:before="0" w:after="0"/>
        <w:ind w:left="0" w:right="0" w:firstLine="54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Mark Marino, Chief Financial Officer of Rackspace Technology, Inc. (the “Company”), certify pursuant to Section 906 of the Sarbanes-Oxley Act of 2002, 18 U.S.C. Section 1350, that:</w:t>
      </w:r>
    </w:p>
    <w:p>
      <w:pPr>
        <w:pStyle w:val="TextBody"/>
        <w:bidi w:val="0"/>
        <w:spacing w:before="0" w:after="0"/>
        <w:ind w:left="0" w:right="0" w:firstLine="54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Quarterly Report on Form 10-Q of the Company for the quarter ended March 31, 2026 (the “Report”) fully complies with the requirements of Section 13(a) or 15(d) of the Securities Exchange Act of 1934;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Rackspace Technology, Inc.</w:t>
      </w:r>
    </w:p>
    <w:p>
      <w:pPr>
        <w:pStyle w:val="TextBody"/>
        <w:bidi w:val="0"/>
        <w:spacing w:before="0" w:after="0"/>
        <w:jc w:val="left"/>
        <w:rPr/>
      </w:pPr>
      <w:r>
        <w:rPr/>
      </w:r>
    </w:p>
    <w:p>
      <w:pPr>
        <w:pStyle w:val="TextBody"/>
        <w:bidi w:val="0"/>
        <w:spacing w:before="0" w:after="0"/>
        <w:jc w:val="left"/>
        <w:rPr/>
      </w:pPr>
      <w:r>
        <w:rPr/>
      </w:r>
    </w:p>
    <w:tbl>
      <w:tblPr>
        <w:tblW w:w="4434"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134"/>
        <w:gridCol w:w="134"/>
        <w:gridCol w:w="13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Marino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21335</Words>
  <Characters>118246</Characters>
  <CharactersWithSpaces>138100</CharactersWithSpaces>
  <Paragraphs>2269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