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1"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8" w:lineRule="exact"/>
        <w:rPr>
          <w:sz w:val="24"/>
          <w:szCs w:val="24"/>
          <w:color w:val="auto"/>
        </w:rPr>
      </w:pPr>
    </w:p>
    <w:p>
      <w:pPr>
        <w:ind w:left="580" w:hanging="376"/>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5" w:lineRule="exact"/>
        <w:rPr>
          <w:rFonts w:ascii="MS PGothic" w:cs="MS PGothic" w:eastAsia="MS PGothic" w:hAnsi="MS PGothic"/>
          <w:sz w:val="18"/>
          <w:szCs w:val="18"/>
          <w:color w:val="auto"/>
        </w:rPr>
      </w:pPr>
    </w:p>
    <w:p>
      <w:pPr>
        <w:ind w:left="38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transition period from ______ to 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001-39420</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RACKSPACE TECHNOLOGY,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158750</wp:posOffset>
            </wp:positionV>
            <wp:extent cx="36004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 cy="45402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81-3369925</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101" w:lineRule="exact"/>
        <w:rPr>
          <w:sz w:val="24"/>
          <w:szCs w:val="24"/>
          <w:color w:val="auto"/>
        </w:rPr>
      </w:pPr>
    </w:p>
    <w:p>
      <w:pPr>
        <w:sectPr>
          <w:pgSz w:w="11900" w:h="16838" w:orient="portrait"/>
          <w:cols w:equalWidth="0" w:num="2">
            <w:col w:w="6680" w:space="720"/>
            <w:col w:w="3840"/>
          </w:cols>
          <w:pgMar w:left="320" w:top="126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19122 US Highway 281N, Suite 128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Antonio, Texas 78258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1-800-961-4454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283"/>
        </w:trPr>
        <w:tc>
          <w:tcPr>
            <w:tcW w:w="43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RXT</w:t>
            </w:r>
          </w:p>
        </w:tc>
        <w:tc>
          <w:tcPr>
            <w:tcW w:w="1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4"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type w:val="continuous"/>
        </w:sectPr>
      </w:pPr>
    </w:p>
    <w:bookmarkStart w:id="1" w:name="page2"/>
    <w:bookmarkEnd w:id="1"/>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16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0"/>
          <w:szCs w:val="20"/>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August 5, 2025, 239,360,677 shares of the registrant's common stock, par value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Unaudited Condensed Consolidated Balance Sheets as of December 31, 2024 and June 30, 2025</w:t>
            </w:r>
          </w:p>
        </w:tc>
        <w:tc>
          <w:tcPr>
            <w:tcW w:w="360" w:type="dxa"/>
            <w:vAlign w:val="bottom"/>
            <w:gridSpan w:val="2"/>
          </w:tcPr>
          <w:p>
            <w:pPr>
              <w:jc w:val="center"/>
              <w:ind w:left="170"/>
              <w:spacing w:after="0" w:line="194" w:lineRule="exact"/>
              <w:rPr>
                <w:sz w:val="20"/>
                <w:szCs w:val="20"/>
                <w:color w:val="auto"/>
              </w:rPr>
            </w:pPr>
            <w:r>
              <w:rPr>
                <w:rFonts w:ascii="Times New Roman" w:cs="Times New Roman" w:eastAsia="Times New Roman" w:hAnsi="Times New Roman"/>
                <w:sz w:val="18"/>
                <w:szCs w:val="18"/>
                <w:color w:val="0000FF"/>
              </w:rPr>
              <w:t>3</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Six Months Ended June 30,</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4</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2024 and June 30, 2025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June 30, 2024 and June 30, 2025</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5</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Deficit for the Three and Six Months Ended June 30, 2024 and</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7</w:t>
            </w:r>
          </w:p>
        </w:tc>
        <w:tc>
          <w:tcPr>
            <w:tcW w:w="3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7"/>
              </w:rPr>
              <w:t>June 30, 2025</w:t>
            </w:r>
          </w:p>
        </w:tc>
        <w:tc>
          <w:tcPr>
            <w:tcW w:w="822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Unaudited Condensed Consolidated Financial Statements</w:t>
            </w:r>
          </w:p>
        </w:tc>
        <w:tc>
          <w:tcPr>
            <w:tcW w:w="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rPr>
              <w:t>9</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80" w:type="dxa"/>
            <w:vAlign w:val="bottom"/>
            <w:gridSpan w:val="5"/>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34</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18"/>
                <w:szCs w:val="18"/>
                <w:color w:val="auto"/>
              </w:rPr>
            </w:pPr>
          </w:p>
        </w:tc>
        <w:tc>
          <w:tcPr>
            <w:tcW w:w="2980" w:type="dxa"/>
            <w:vAlign w:val="bottom"/>
            <w:gridSpan w:val="5"/>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58</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59</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5"/>
        </w:trPr>
        <w:tc>
          <w:tcPr>
            <w:tcW w:w="20" w:type="dxa"/>
            <w:vAlign w:val="bottom"/>
          </w:tcPr>
          <w:p>
            <w:pPr>
              <w:spacing w:after="0"/>
              <w:rPr>
                <w:sz w:val="24"/>
                <w:szCs w:val="24"/>
                <w:color w:val="auto"/>
              </w:rPr>
            </w:pPr>
          </w:p>
        </w:tc>
        <w:tc>
          <w:tcPr>
            <w:tcW w:w="10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2"/>
          </w:tcPr>
          <w:p>
            <w:pPr>
              <w:jc w:val="center"/>
              <w:ind w:left="90"/>
              <w:spacing w:after="0" w:line="194" w:lineRule="exact"/>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18"/>
                <w:szCs w:val="18"/>
                <w:color w:val="auto"/>
              </w:rPr>
            </w:pPr>
          </w:p>
        </w:tc>
        <w:tc>
          <w:tcPr>
            <w:tcW w:w="8120" w:type="dxa"/>
            <w:vAlign w:val="bottom"/>
            <w:gridSpan w:val="10"/>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Pr>
          <w:p>
            <w:pPr>
              <w:spacing w:after="0"/>
              <w:rPr>
                <w:sz w:val="18"/>
                <w:szCs w:val="18"/>
                <w:color w:val="auto"/>
              </w:rPr>
            </w:pPr>
          </w:p>
        </w:tc>
        <w:tc>
          <w:tcPr>
            <w:tcW w:w="5080" w:type="dxa"/>
            <w:vAlign w:val="bottom"/>
            <w:gridSpan w:val="7"/>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00" w:type="dxa"/>
            <w:vAlign w:val="bottom"/>
            <w:gridSpan w:val="8"/>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20" w:type="dxa"/>
            <w:vAlign w:val="bottom"/>
            <w:gridSpan w:val="9"/>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60</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120" w:type="dxa"/>
            <w:vAlign w:val="bottom"/>
            <w:gridSpan w:val="10"/>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3"/>
          </w:tcPr>
          <w:p>
            <w:pPr>
              <w:spacing w:after="0"/>
              <w:rPr>
                <w:sz w:val="18"/>
                <w:szCs w:val="18"/>
                <w:color w:val="auto"/>
              </w:rPr>
            </w:pPr>
          </w:p>
        </w:tc>
        <w:tc>
          <w:tcPr>
            <w:tcW w:w="8120" w:type="dxa"/>
            <w:vAlign w:val="bottom"/>
            <w:gridSpan w:val="10"/>
          </w:tcPr>
          <w:p>
            <w:pPr>
              <w:spacing w:after="0"/>
              <w:rPr>
                <w:sz w:val="18"/>
                <w:szCs w:val="18"/>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61</w:t>
            </w:r>
          </w:p>
        </w:tc>
        <w:tc>
          <w:tcPr>
            <w:tcW w:w="3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0000FF"/>
                <w:w w:val="99"/>
              </w:rPr>
              <w:t>62</w:t>
            </w:r>
          </w:p>
        </w:tc>
        <w:tc>
          <w:tcPr>
            <w:tcW w:w="320" w:type="dxa"/>
            <w:vAlign w:val="bottom"/>
          </w:tcPr>
          <w:p>
            <w:pPr>
              <w:spacing w:after="0"/>
              <w:rPr>
                <w:sz w:val="24"/>
                <w:szCs w:val="24"/>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for the quarterly period ended June 30, 2025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spacing w:after="0" w:line="212"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18"/>
          <w:szCs w:val="18"/>
          <w:i w:val="1"/>
          <w:iCs w:val="1"/>
          <w:color w:val="auto"/>
        </w:rPr>
        <w:t>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2024.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54" w:lineRule="exact"/>
        <w:rPr>
          <w:sz w:val="20"/>
          <w:szCs w:val="20"/>
          <w:color w:val="auto"/>
        </w:rPr>
      </w:pPr>
    </w:p>
    <w:p>
      <w:pPr>
        <w:ind w:right="40" w:firstLine="486"/>
        <w:spacing w:after="0" w:line="227" w:lineRule="auto"/>
        <w:rPr>
          <w:sz w:val="20"/>
          <w:szCs w:val="20"/>
          <w:color w:val="auto"/>
        </w:rPr>
      </w:pPr>
      <w:r>
        <w:rPr>
          <w:rFonts w:ascii="Times New Roman" w:cs="Times New Roman" w:eastAsia="Times New Roman" w:hAnsi="Times New Roman"/>
          <w:sz w:val="18"/>
          <w:szCs w:val="18"/>
          <w:i w:val="1"/>
          <w:iCs w:val="1"/>
          <w:color w:val="auto"/>
        </w:rPr>
        <w:t>"Rackspace," "Rackspace Technology," "Fanatical," "Fanatical Experience," "Rackspace Fabric," "Rackspace Data Freedom," "Rackspace Services for VMware Cloud</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and "My Rackspace" are registered or unregistered trademarks of Rackspace US, Inc. in the United States and/or other countries. OpenStack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and accrued customer credits of $27.0 and $24.6, respectively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7"/>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w:t>
            </w:r>
          </w:p>
        </w:tc>
        <w:tc>
          <w:tcPr>
            <w:tcW w:w="0" w:type="dxa"/>
            <w:vAlign w:val="bottom"/>
          </w:tcPr>
          <w:p>
            <w:pPr>
              <w:spacing w:after="0"/>
              <w:rPr>
                <w:sz w:val="1"/>
                <w:szCs w:val="1"/>
                <w:color w:val="auto"/>
              </w:rPr>
            </w:pPr>
          </w:p>
        </w:tc>
      </w:tr>
      <w:tr>
        <w:trPr>
          <w:trHeight w:val="151"/>
        </w:trPr>
        <w:tc>
          <w:tcPr>
            <w:tcW w:w="8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2,766.8</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4,013.9</w:t>
            </w: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per share: 5.0 shares authorized; no shares issued or outstanding</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$0.01 par value per share: 1,495.0 shares authorized; 232.2 and 242.1 shares issued; 229.1 and 239.0</w:t>
            </w:r>
          </w:p>
        </w:tc>
        <w:tc>
          <w:tcPr>
            <w:tcW w:w="1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3.1 shares held</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0" w:type="dxa"/>
            <w:vAlign w:val="bottom"/>
          </w:tcPr>
          <w:p>
            <w:pPr>
              <w:spacing w:after="0"/>
              <w:rPr>
                <w:sz w:val="1"/>
                <w:szCs w:val="1"/>
                <w:color w:val="auto"/>
              </w:rPr>
            </w:pPr>
          </w:p>
        </w:tc>
      </w:tr>
      <w:tr>
        <w:trPr>
          <w:trHeight w:val="213"/>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5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7"/>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2"/>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derivative contracts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5"/>
        </w:trPr>
        <w:tc>
          <w:tcPr>
            <w:tcW w:w="4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Amount reclassified from accumulated other comprehensive</w:t>
            </w:r>
          </w:p>
        </w:tc>
        <w:tc>
          <w:tcPr>
            <w:tcW w:w="3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to earnings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Reduction in carrying amount of operating right-of-use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investments,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bad debts and accrued customer credits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and debt discount and premium</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Third party fees paid in connection with the March 2024 Refinancing Transactions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7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r>
      <w:tr>
        <w:trPr>
          <w:trHeight w:val="213"/>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13"/>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2"/>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equipment and software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headquarters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of common stock withheld for employee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long-term debt arrangements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extinguishment costs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financing component of interest rate swap</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finance lease liabilities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Principal payments of financing obligations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7"/>
        </w:trPr>
        <w:tc>
          <w:tcPr>
            <w:tcW w:w="7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r>
      <w:tr>
        <w:trPr>
          <w:trHeight w:val="219"/>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7"/>
        </w:trPr>
        <w:tc>
          <w:tcPr>
            <w:tcW w:w="7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Decrease in cash, cash equivalents, and restricted cash</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6"/>
        </w:trPr>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r>
      <w:tr>
        <w:trPr>
          <w:trHeight w:val="212"/>
        </w:trPr>
        <w:tc>
          <w:tcPr>
            <w:tcW w:w="79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for interest, net of amount capitalized</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payments for income taxes, net of refunds</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equipment and software by finance leases</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(decrease) in property, equipment and software accrued in liabilities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non-cash activity</w:t>
            </w: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purchases of property, equipment and software</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54"/>
        </w:trPr>
        <w:tc>
          <w:tcPr>
            <w:tcW w:w="7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gain on sale of property and equipment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to the total of such amounts shown on the Condensed Consolidated Statements of Cash Flows.</w:t>
      </w:r>
    </w:p>
    <w:p>
      <w:pPr>
        <w:spacing w:after="0" w:line="23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79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(3,464.8)</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(1,073.1)</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 Stock, at Cost</w:t>
            </w:r>
          </w:p>
        </w:tc>
        <w:tc>
          <w:tcPr>
            <w:tcW w:w="1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3"/>
        </w:trPr>
        <w:tc>
          <w:tcPr>
            <w:tcW w:w="224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2"/>
                <w:szCs w:val="12"/>
                <w:color w:val="auto"/>
              </w:rPr>
            </w:pPr>
          </w:p>
        </w:tc>
        <w:tc>
          <w:tcPr>
            <w:tcW w:w="122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70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2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(3,682.4)</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stock options and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release of stock awards,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shares from</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Share-based compensation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expense for equity classified</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3"/>
        </w:trPr>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37"/>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(31.0)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RACKSPACE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Overview, Basis of Presentation, and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256" w:lineRule="exact"/>
        <w:rPr>
          <w:sz w:val="20"/>
          <w:szCs w:val="20"/>
          <w:color w:val="auto"/>
        </w:rPr>
      </w:pPr>
    </w:p>
    <w:p>
      <w:pPr>
        <w:jc w:val="both"/>
        <w:ind w:right="260" w:firstLine="486"/>
        <w:spacing w:after="0" w:line="258" w:lineRule="auto"/>
        <w:rPr>
          <w:sz w:val="20"/>
          <w:szCs w:val="20"/>
          <w:color w:val="auto"/>
        </w:rPr>
      </w:pPr>
      <w:r>
        <w:rPr>
          <w:rFonts w:ascii="Times New Roman" w:cs="Times New Roman" w:eastAsia="Times New Roman" w:hAnsi="Times New Roman"/>
          <w:sz w:val="18"/>
          <w:szCs w:val="18"/>
          <w:color w:val="auto"/>
        </w:rPr>
        <w:t>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w:t>
      </w:r>
    </w:p>
    <w:p>
      <w:pPr>
        <w:spacing w:after="0" w:line="21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w:t>
      </w:r>
    </w:p>
    <w:p>
      <w:pPr>
        <w:spacing w:after="0" w:line="20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For ease of reference, the terms "we," "our company," "the company," "us," or "our" as used in this report refer to Rackspace Technology and its consolidated subsidiaries.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Rackspace Technology, Inc. and our wholly-owned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transactions and balances have been eliminated in consolidation.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5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June 30, 2025, and for the three and six months ended June 30, 2024 and 2025,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2024 as filed with the SEC on March 21, 2025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June 30, 2025, our results of operations and stockholders' deficit for the three and six months ended June 30, 2024 and 2025, and our cash flows for the six months ended June 30, 2024 and 2025.</w:t>
      </w:r>
    </w:p>
    <w:p>
      <w:pPr>
        <w:spacing w:after="0" w:line="2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the results of operations to be expected for the year ending December 31, 2025, or for any other interim period, or for any other future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Overview</w:t>
      </w:r>
    </w:p>
    <w:p>
      <w:pPr>
        <w:spacing w:after="0" w:line="25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 highly leveraged company. As of June 30, 2025, we had $2,439.3 million aggregate principal amount outstanding under our debt instruments, which are comprised of the first lien first out senior secured term loan facility (the “FLFO Term Loan Facility”), the first lien second out senior secured term loan facility (the “FLSO Term Loan Facility”), the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"New Revolving Credit Facility"). As of June 30, 2025, the New Revolving Credit Facility provided for up to $375.0 million of borrowings, $65.0 million of which was drawn and outstanding as of June 30, 2025. Our primary uses of cash are working capital requirements, debt service requirements and capital expenditures. Based on our current level of operations and available cash and cash equivalents of $103.9 million as of June 30, 2025,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and Estimates</w:t>
      </w:r>
    </w:p>
    <w:p>
      <w:pPr>
        <w:spacing w:after="0" w:line="256" w:lineRule="exact"/>
        <w:rPr>
          <w:sz w:val="20"/>
          <w:szCs w:val="20"/>
          <w:color w:val="auto"/>
        </w:rPr>
      </w:pPr>
    </w:p>
    <w:p>
      <w:pPr>
        <w:ind w:right="80" w:firstLine="486"/>
        <w:spacing w:after="0" w:line="312" w:lineRule="auto"/>
        <w:rPr>
          <w:sz w:val="20"/>
          <w:szCs w:val="20"/>
          <w:color w:val="auto"/>
        </w:rPr>
      </w:pPr>
      <w:r>
        <w:rPr>
          <w:rFonts w:ascii="Times New Roman" w:cs="Times New Roman" w:eastAsia="Times New Roman" w:hAnsi="Times New Roman"/>
          <w:sz w:val="17"/>
          <w:szCs w:val="17"/>
          <w:color w:val="auto"/>
        </w:rPr>
        <w:t>Our Annual Report includes an additional discussion of the significant accounting policies and estimates used in the preparation of our consolidated financial statements. There were no material changes to our significant accounting policies and estimates during the six months ended June 30,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Indefinite-Lived Intangible Assets and Long-Lived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of businesses acquired. Goodwill and indefinite-lived intangible assets are not amortized but are subject to impairment testing on an annual basis as of October 1st or more frequently if events or circumstances indicate a potential impairment. These events or circumstances could include a significant change in the business climate, regulatory environment, established business plans, operating performance indicators or competition. Potential impairment indicators may also include, but are not limited to, (i) significant changes to estimates and assumptions used in the most recent annual or interim impairment testing, (ii) downward revisions to internal forecasts, and the magnitude thereof, (iii) declines in our market capitalization below our book value, and the magnitude and duration of those declines, (iv) a reorganization resulting in a change to our operating segments, and (v) other macroeconomic factors, such as increases in interest rates that may affect the weighted average cost of capital, volatility in the equity and debt markets, or fluctuations in foreign currency exchange rates that may negatively impact our reported results of operations.</w:t>
      </w:r>
    </w:p>
    <w:p>
      <w:pPr>
        <w:spacing w:after="0" w:line="215" w:lineRule="exact"/>
        <w:rPr>
          <w:sz w:val="20"/>
          <w:szCs w:val="20"/>
          <w:color w:val="auto"/>
        </w:rPr>
      </w:pPr>
    </w:p>
    <w:p>
      <w:pPr>
        <w:ind w:right="240" w:firstLine="486"/>
        <w:spacing w:after="0" w:line="277" w:lineRule="auto"/>
        <w:rPr>
          <w:sz w:val="20"/>
          <w:szCs w:val="20"/>
          <w:color w:val="auto"/>
        </w:rPr>
      </w:pPr>
      <w:r>
        <w:rPr>
          <w:rFonts w:ascii="Times New Roman" w:cs="Times New Roman" w:eastAsia="Times New Roman" w:hAnsi="Times New Roman"/>
          <w:sz w:val="17"/>
          <w:szCs w:val="17"/>
          <w:color w:val="auto"/>
        </w:rPr>
        <w:t>In connection with the debt refinancing transactions that were completed in March and April 2024, as further described in Note 7, “Debt”, we updated our internal forecasts. Our updated internal forecasts considered our year-to-date operating performance, current customer bookings and revised expectations based on current performance, revisions to our expected growth and timing of such growth based on current and expected performance, current customer retention rates, revisions to the timing of the expected effects of our strategic initiatives and overall related risks, including</w:t>
      </w:r>
    </w:p>
    <w:p>
      <w:pPr>
        <w:spacing w:after="0" w:line="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macroeconomic factors, to achieving our forecasts. Our Board of Directors reviewed and approved our internal budget for fiscal year 2024 on February 28, 2024. 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one level below an operating segment (referred to as a component). We allocate goodwill to reporting units based on the reporting unit expected to benefit from the business combination. Assets and liabilities are assigned to each of our reporting units if they are employed by a reporting unit and are considered in the determination of the reporting unit fair value. Certain assets and liabilities are shared by multiple reporting units, and thus, are allocated to each reporting unit based on the relative size of a reporting unit, primarily based on revenue. We currently have two reporting units: Public Cloud and Private Cloud.</w:t>
      </w:r>
    </w:p>
    <w:p>
      <w:pPr>
        <w:spacing w:after="0" w:line="21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For the interim quantitative goodwill impairment analyses performed, we compare the fair values of each of our reporting units to their respective carrying amounts. The fair values of each of our reporting units were derived using the income approach, specifically the discounted cash flow method. The discounted cash flow models reflect our assumptions and considerations regarding revenue growth rates, projected gross profit margins, projected operating costs, projected capital expenditures, risk-adjusted discount rates, terminal period growth rates, and economic market trends. As part of the goodwill impairment test, we also consider our market capitalization in assessing the reasonableness of the combined fair values estimated for our reporting units. Goodwill impairment is measured as the excess of a reporting unit's carrying amount over its fair value, not to exceed the carrying amount of goodwill for that reporting unit.</w:t>
      </w:r>
    </w:p>
    <w:p>
      <w:pPr>
        <w:spacing w:after="0" w:line="216"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results of our quantitative goodwill impairment analysis as of February 29, 2024 indicated an impairment of goodwill within our Public Cloud and Private Cloud reporting units of $385.4 million and $187.8 million, respectively. We recorded these non-cash impairment charges within "Impairment of goodwill" in our Condensed Consolidated Statements of Comprehensive Income (Loss) in the first quarter of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indefinite-lived intangible asset consists of our Rackspace trade name, which was recorded at fair value on our balance sheet at the date of the Rackspace Acquisition. Our indefinite-lived intangible asset is tested for impairment at the consolidated level. In evaluating the recoverability of the Rackspace trade name, we compare the fair value of the asset to its carrying amount to determine potential impairment. Our estimate of the fair value of the Rackspace trade name is derived using the income approach, specifically the relief-from-royalty method.</w:t>
      </w:r>
    </w:p>
    <w:p>
      <w:pPr>
        <w:spacing w:after="0" w:line="20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Due to the factors discussed in the goodwill analysis above and prior to testing our goodwill for impairment, we performed a quantitative assessment of our indefinite-lived intangible asset as of February 29, 2024. The quantitative assessment performed indicated the estimated fair value of the Rackspace trade name was less than its carrying value. As a result, we recorded a $20.0 million non-cash impairment charge as of February 29, 2024, which is included in "Impairment of assets, net" in our Condensed Consolidated Statements of Comprehensive Income (Loss) in the first quarter of 2024.</w:t>
      </w:r>
    </w:p>
    <w:p>
      <w:pPr>
        <w:spacing w:after="0" w:line="20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fair value determination of our reporting units and our indefinite-lived intangible asset is judgmental in nature and requires the use of significant estimates and assumptions that are sensitive to changes. Assumptions include estimation of the royalty rate for the trade name, estimation of future revenue growth rates, projected gross profit margins, projected operating costs, projected EBITDA margins, and projected capital expenditures, which are dependent on internal cash flow forecasts, estimation of the terminal growth rates and determination of risk-adjusted discount rates. As a result, there can be no assurance that the estimates and assumptions made for purposes of the quantitative indefinite-lived intangible impairment tests will prove to be an accurate prediction of future results. Examples of events or circumstances that could reasonably be expected to negatively affect the underlying key assumptions and ultimately impact the estimated fair value of our reporting units may include such items as: (i) volatility in the equity and debt markets or other macroeconomic factors, (ii) an increase in the weighted-average cost of capital due to further increases in interest rates, (iii) decreases in future cash flows due to lower than expected sales or greater than expected customer churn, or (iv) fluctuations in foreign currency exchange rates that may negatively impact our reported results of operations. Accordingly, if our current cash flow assumptions are not realized, we experience sustained declines in our stock price or market capitalization, or increases in costs of capital, it is possible that an additional impairment charge may be recorded in the future, which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Long-lived assets, including operating and finance lease assets, are reviewed for impairment whenever events or changes in circumstances indicate that the carrying amount of an asset may not be recoverable. Recoverability of assets is measured at the asset group level. If the carrying amount of an asset group exceeds its estimated undiscounted future cash flows, then an impairment charge is recognized in the amount that an asset group's carrying amount exceeds its fair value.</w:t>
      </w:r>
    </w:p>
    <w:p>
      <w:pPr>
        <w:spacing w:after="0" w:line="20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goodwill impairment analysis as of February 29, 2024, we performed a recoverability test of our long-lived assets, including finite-lived intangible assets, by comparing the net book value of our long-lived assets or asset groups, to the future undiscounted net cash flows attributable to such assets, which did not result in any impairment charges.</w:t>
      </w:r>
    </w:p>
    <w:p>
      <w:pPr>
        <w:spacing w:after="0" w:line="203"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our non-financial assets and liabilities, which include goodwill, intangible assets and property, plant and equipment, are measured on a non-recurring basis. The fair value of our reporting units, indefinite-lived intangible assets and long-lived assets are classified as Level 3 within the fair value hierarchy due to the significant unobservable inputs developed using company-specific information.</w:t>
      </w:r>
    </w:p>
    <w:p>
      <w:pPr>
        <w:spacing w:after="0" w:line="199"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Income Tax Disclosures</w:t>
      </w:r>
    </w:p>
    <w:p>
      <w:pPr>
        <w:spacing w:after="0" w:line="2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No. 2023-09, </w:t>
      </w:r>
      <w:r>
        <w:rPr>
          <w:rFonts w:ascii="Times New Roman" w:cs="Times New Roman" w:eastAsia="Times New Roman" w:hAnsi="Times New Roman"/>
          <w:sz w:val="18"/>
          <w:szCs w:val="18"/>
          <w:i w:val="1"/>
          <w:iCs w:val="1"/>
          <w:color w:val="auto"/>
        </w:rPr>
        <w:t>Income Taxes (Topic</w:t>
      </w:r>
    </w:p>
    <w:p>
      <w:pPr>
        <w:spacing w:after="0" w:line="29" w:lineRule="exact"/>
        <w:rPr>
          <w:sz w:val="20"/>
          <w:szCs w:val="20"/>
          <w:color w:val="auto"/>
        </w:rPr>
      </w:pPr>
    </w:p>
    <w:p>
      <w:pPr>
        <w:ind w:firstLine="8"/>
        <w:spacing w:after="0" w:line="252" w:lineRule="auto"/>
        <w:tabs>
          <w:tab w:leader="none" w:pos="3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ASU 2023-09 expands the existing disclosure requirements for the annual rate reconciliation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and the statutory federal tax rate by requiring reconciliation items to be disaggregated by defined categories and disclosed as both percentages and amounts. The ASU also requires the disaggregation of income taxes paid by jurisdiction for each annual period presented. This guidance is effective for Rackspace beginning with our 2025 Form 10-K annual disclosures, with early adoption permitted. The guidance should be applied on a prospective basis, but retrospective application is permitted. We are currently evaluating the provisions of the ASU and, once adopted, will result in increased income tax disclosures.</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10" w:lineRule="exact"/>
        <w:rPr>
          <w:rFonts w:ascii="Times New Roman" w:cs="Times New Roman" w:eastAsia="Times New Roman" w:hAnsi="Times New Roman"/>
          <w:sz w:val="18"/>
          <w:szCs w:val="18"/>
          <w:i w:val="1"/>
          <w:iCs w:val="1"/>
          <w:color w:val="auto"/>
        </w:rPr>
      </w:pPr>
    </w:p>
    <w:p>
      <w:pPr>
        <w:ind w:left="5540" w:hanging="111"/>
        <w:spacing w:after="0"/>
        <w:tabs>
          <w:tab w:leader="none" w:pos="5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Customer Contracts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balances related to customer contracts: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Account</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60" w:type="dxa"/>
            <w:vAlign w:val="bottom"/>
          </w:tcPr>
          <w:p>
            <w:pPr>
              <w:spacing w:after="0"/>
              <w:rPr>
                <w:sz w:val="18"/>
                <w:szCs w:val="18"/>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620" w:type="dxa"/>
            <w:vAlign w:val="bottom"/>
            <w:tcBorders>
              <w:top w:val="single" w:sz="8" w:color="auto"/>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Accounts receivable, net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contract assets</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contract assets</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portion of deferred revenue</w:t>
            </w:r>
          </w:p>
        </w:tc>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bl>
    <w:p>
      <w:pPr>
        <w:spacing w:after="0" w:line="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Allowance for credit losses and accrued customer credits was $27.0 million and $24.6 million as of December 31, 2024 and June 30, 2025, respectively.</w:t>
      </w:r>
    </w:p>
    <w:p>
      <w:pPr>
        <w:spacing w:after="0" w:line="25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Amounts recognized in revenue for the three months ended June 30, 2024, and 2025, which were included in deferred revenue as of the beginning of each period totaled $43.9 million and $48.9 million, respectively. Amounts recognized in revenue for the six months ended June 30, 2024, and 2025, which were included in deferred revenue as of the beginning of each period totaled $61.3 million and $68.0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to Obtain and Fulfill a Contract</w:t>
      </w:r>
    </w:p>
    <w:p>
      <w:pPr>
        <w:spacing w:after="0" w:line="24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June 30, 2025, the balances of capitalized costs to obtain a contract were $38.6 million and $32.0 million, respectively, and the balances of capitalized costs to fulfill a contract were $13.7 million and $14.9 million, respectively. These capitalized costs are included in "Other non-current assets" on the Condensed Consolidated Balance Sheets.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capitalized sales commissions and implementation costs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capitalized sales commissions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capitalized implementation costs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June 30, 2025, the aggregate amount of transaction price allocated to remaining performance obligations was $515.0 million, of which approximately 35% is expected to be recognized as revenue during the remainder of 2025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Sale of Receivables</w:t>
      </w:r>
    </w:p>
    <w:p>
      <w:pPr>
        <w:spacing w:after="0" w:line="256"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7"/>
          <w:szCs w:val="17"/>
          <w:color w:val="auto"/>
        </w:rPr>
        <w:t>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w:t>
      </w:r>
    </w:p>
    <w:p>
      <w:pPr>
        <w:spacing w:after="0" w:line="19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accounts receivable sold during the three and six months ended June 30, 2024, we recorded $5.1 million and $10.9 million of expense, respectively, within “Other expense, net” in the Condensed Consolidated Statements of Comprehensive Income (Loss). This expense consisted of $5.0 million and $10.3 million of yield charges and fees in the three and six months ended June 30, 2024, respectively, and $0.1 million and $0.6 million of upfront transaction costs associated with the execution of the agreement in the three and six month months ended June 30, 2024, respectively.</w:t>
      </w:r>
    </w:p>
    <w:p>
      <w:pPr>
        <w:spacing w:after="0" w:line="20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accounts receivable sold during the three and six months ended June 30, 2025, we recorded $5.3 million and $10.3 million of yield charges and fees, respectively, within “Other expense, net” in the Condensed Consolidated Statements of Comprehensive Income (Loss).</w:t>
      </w:r>
    </w:p>
    <w:p>
      <w:pPr>
        <w:spacing w:after="0" w:line="18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outstanding portfolio of sold accounts receivable derecognized from our Condensed Consolidated Balance Sheet as of December 31, 2024 and June 30, 2025 was $218.7 million and $246.8 million, respectively. The SPVs hold unsold accounts receivable of $61.9 million as of June 30, 2025 that are pledged as collateral to PNC.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Earnings (Loss) Per Share</w:t>
      </w:r>
    </w:p>
    <w:p>
      <w:pPr>
        <w:spacing w:after="0" w:line="25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Basic net earnings (loss) per share is calculated by dividing net income (loss) attributable to common stockholders by the weighted average number of shares of common stock outstanding during the period. Diluted net earnings (loss) per share is calculated based on the weighted average number of shares of common stock plus the dilutive effect of potential common share equivalents outstanding during the period as determined under the treasury stock method.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(loss) per share: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earnings (loss) per share: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09"/>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earnings (loss)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4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3"/>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5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Number of shares used in per share computations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2"/>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Potential common share equivalents consist of shares issuable upon the exercise of stock options, vesting of restricted stock or purchase under the Employee Stock Purchase Plan (the "ESPP"), as well as contingent shares associated with our acquisition of Datapipe Parent, Inc. We excluded</w:t>
      </w:r>
    </w:p>
    <w:p>
      <w:pPr>
        <w:ind w:right="80"/>
        <w:spacing w:after="0" w:line="255" w:lineRule="auto"/>
        <w:rPr>
          <w:sz w:val="20"/>
          <w:szCs w:val="20"/>
          <w:color w:val="auto"/>
        </w:rPr>
      </w:pPr>
      <w:r>
        <w:rPr>
          <w:rFonts w:ascii="Times New Roman" w:cs="Times New Roman" w:eastAsia="Times New Roman" w:hAnsi="Times New Roman"/>
          <w:sz w:val="18"/>
          <w:szCs w:val="18"/>
          <w:color w:val="auto"/>
        </w:rPr>
        <w:t>44.3 million and 24.3 million potential common shares from the computation of dilutive loss per share for the three months ended June 30, 2024 and 2025, respectively, and 33.7 million and 24.3 million for the six months ended June 30, 2024 and 2025, respectively,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Equipment and Software,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Computers and equipment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1,129.1</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w:t>
            </w:r>
          </w:p>
        </w:tc>
      </w:tr>
      <w:tr>
        <w:trPr>
          <w:trHeight w:val="21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equipment and software, at cost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1,989.4</w:t>
            </w: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(1,406.5)</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2"/>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594.8</w:t>
            </w:r>
          </w:p>
        </w:tc>
      </w:tr>
      <w:tr>
        <w:trPr>
          <w:trHeight w:val="21"/>
        </w:trPr>
        <w:tc>
          <w:tcPr>
            <w:tcW w:w="8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March 2024, we completed the sale of our corporate headquarters facility located in Windcrest, Texas and relocated our corporate headquarters to leased office space in San Antonio, Texas. The property’s estimated fair value, less estimated cost to sell prior to the sale was $16.9 million and we received cash proceeds of $17.5 million, less brokerage and professional fees of $0.6 million, resulting in net cash proceeds of $16.9 million. In connection with the completion of the sale, we paid a $9.0 million early termination fee to certain local governments related to our termination of the Master Economic Incentives Agreement (the “MEIA”) associated with the property. This amount is included in “Selling, general and administrative expenses” in our Condensed Consolidated Statements of Comprehensive Income (Loss)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changes in the carrying amounts of goodwill by reportable segment.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Public Cloud</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Private Cloud</w:t>
            </w:r>
          </w:p>
        </w:tc>
        <w:tc>
          <w:tcPr>
            <w:tcW w:w="36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December 31, 2024</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2,159.4</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impairment charges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(1,423.7)</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r>
      <w:tr>
        <w:trPr>
          <w:trHeight w:val="213"/>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goodwill as of June 30, 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2,164.8</w:t>
            </w:r>
          </w:p>
        </w:tc>
      </w:tr>
      <w:tr>
        <w:trPr>
          <w:trHeight w:val="216"/>
        </w:trPr>
        <w:tc>
          <w:tcPr>
            <w:tcW w:w="63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Less: accumulated impairment charges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(1,423.7)</w:t>
            </w:r>
          </w:p>
        </w:tc>
      </w:tr>
      <w:tr>
        <w:trPr>
          <w:trHeight w:val="23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500" w:right="340" w:hanging="492"/>
        <w:spacing w:after="0" w:line="280" w:lineRule="auto"/>
        <w:tabs>
          <w:tab w:leader="none" w:pos="4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consolidated basis, gross and net goodwill as of June 30, 2025 was $3,046.7 million and $741.1 million, respectively. Accumulated impairment charges on a consolidated basis were $2,305.6 million as of June 30, 2025.</w:t>
      </w:r>
    </w:p>
    <w:p>
      <w:pPr>
        <w:spacing w:after="0" w:line="187" w:lineRule="exact"/>
        <w:rPr>
          <w:sz w:val="20"/>
          <w:szCs w:val="20"/>
          <w:color w:val="auto"/>
        </w:rPr>
      </w:pPr>
    </w:p>
    <w:p>
      <w:pPr>
        <w:ind w:right="800" w:firstLine="486"/>
        <w:spacing w:after="0" w:line="282" w:lineRule="auto"/>
        <w:rPr>
          <w:sz w:val="20"/>
          <w:szCs w:val="20"/>
          <w:color w:val="auto"/>
        </w:rPr>
      </w:pPr>
      <w:r>
        <w:rPr>
          <w:rFonts w:ascii="Times New Roman" w:cs="Times New Roman" w:eastAsia="Times New Roman" w:hAnsi="Times New Roman"/>
          <w:sz w:val="18"/>
          <w:szCs w:val="18"/>
          <w:color w:val="auto"/>
        </w:rPr>
        <w:t>See Note 1, "Company Overview, Basis of Presentation, and Summary of Significant Accounting Policies," for discussion of the goodwill impairment charges recorded during the six months ended June 30,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intangible assets other than goodwill: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30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160" w:type="dxa"/>
            <w:vAlign w:val="bottom"/>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60" w:type="dxa"/>
            <w:vAlign w:val="bottom"/>
          </w:tcPr>
          <w:p>
            <w:pPr>
              <w:spacing w:after="0"/>
              <w:rPr>
                <w:sz w:val="18"/>
                <w:szCs w:val="18"/>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11"/>
        </w:trPr>
        <w:tc>
          <w:tcPr>
            <w:tcW w:w="2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629.8</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0" w:type="dxa"/>
            <w:vAlign w:val="bottom"/>
          </w:tcPr>
          <w:p>
            <w:pPr>
              <w:spacing w:after="0"/>
              <w:rPr>
                <w:sz w:val="1"/>
                <w:szCs w:val="1"/>
                <w:color w:val="auto"/>
              </w:rPr>
            </w:pPr>
          </w:p>
        </w:tc>
      </w:tr>
      <w:tr>
        <w:trPr>
          <w:trHeight w:val="213"/>
        </w:trPr>
        <w:tc>
          <w:tcPr>
            <w:tcW w:w="2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Trade name (indefinite-lived)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0" w:type="dxa"/>
            <w:vAlign w:val="bottom"/>
          </w:tcPr>
          <w:p>
            <w:pPr>
              <w:spacing w:after="0"/>
              <w:rPr>
                <w:sz w:val="1"/>
                <w:szCs w:val="1"/>
                <w:color w:val="auto"/>
              </w:rPr>
            </w:pPr>
          </w:p>
        </w:tc>
      </w:tr>
      <w:tr>
        <w:trPr>
          <w:trHeight w:val="145"/>
        </w:trPr>
        <w:tc>
          <w:tcPr>
            <w:tcW w:w="2740" w:type="dxa"/>
            <w:vAlign w:val="bottom"/>
            <w:tcBorders>
              <w:top w:val="single" w:sz="8" w:color="CCEEFF"/>
            </w:tcBorders>
            <w:shd w:val="clear" w:color="auto" w:fill="CCEEFF"/>
          </w:tcPr>
          <w:p>
            <w:pPr>
              <w:ind w:left="340"/>
              <w:spacing w:after="0" w:line="145" w:lineRule="exact"/>
              <w:rPr>
                <w:sz w:val="20"/>
                <w:szCs w:val="20"/>
                <w:color w:val="auto"/>
              </w:rPr>
            </w:pPr>
            <w:r>
              <w:rPr>
                <w:rFonts w:ascii="Times New Roman" w:cs="Times New Roman" w:eastAsia="Times New Roman" w:hAnsi="Times New Roman"/>
                <w:sz w:val="16"/>
                <w:szCs w:val="16"/>
                <w:color w:val="auto"/>
              </w:rPr>
              <w:t>Total intangible assets other than</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0" w:type="dxa"/>
            <w:vAlign w:val="bottom"/>
          </w:tcPr>
          <w:p>
            <w:pPr>
              <w:spacing w:after="0"/>
              <w:rPr>
                <w:sz w:val="1"/>
                <w:szCs w:val="1"/>
                <w:color w:val="auto"/>
              </w:rPr>
            </w:pPr>
          </w:p>
        </w:tc>
      </w:tr>
      <w:tr>
        <w:trPr>
          <w:trHeight w:val="209"/>
        </w:trPr>
        <w:tc>
          <w:tcPr>
            <w:tcW w:w="2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six months ended June 30, 2024 we recognized impairment charges of $20.0 million related to our trade name indefinite-lived intangible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w:t>
      </w:r>
    </w:p>
    <w:p>
      <w:pPr>
        <w:spacing w:after="0" w:line="234"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see the discussion of our impairment charges in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Debt Instrument</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540" w:type="dxa"/>
            <w:vAlign w:val="bottom"/>
            <w:gridSpan w:val="2"/>
          </w:tcPr>
          <w:p>
            <w:pPr>
              <w:ind w:left="200"/>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980" w:type="dxa"/>
            <w:vAlign w:val="bottom"/>
            <w:gridSpan w:val="4"/>
          </w:tcPr>
          <w:p>
            <w:pPr>
              <w:jc w:val="right"/>
              <w:ind w:right="659"/>
              <w:spacing w:after="0" w:line="216" w:lineRule="exact"/>
              <w:rPr>
                <w:sz w:val="20"/>
                <w:szCs w:val="20"/>
                <w:color w:val="auto"/>
              </w:rPr>
            </w:pPr>
            <w:r>
              <w:rPr>
                <w:rFonts w:ascii="Times New Roman" w:cs="Times New Roman" w:eastAsia="Times New Roman" w:hAnsi="Times New Roman"/>
                <w:sz w:val="16"/>
                <w:szCs w:val="16"/>
                <w:b w:val="1"/>
                <w:bCs w:val="1"/>
                <w:color w:val="auto"/>
              </w:rPr>
              <w:t>Interest Rate</w:t>
            </w:r>
            <w:r>
              <w:rPr>
                <w:rFonts w:ascii="Times New Roman" w:cs="Times New Roman" w:eastAsia="Times New Roman" w:hAnsi="Times New Roman"/>
                <w:sz w:val="21"/>
                <w:szCs w:val="21"/>
                <w:b w:val="1"/>
                <w:bCs w:val="1"/>
                <w:color w:val="auto"/>
                <w:vertAlign w:val="superscript"/>
              </w:rPr>
              <w:t>(1)</w:t>
            </w: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0" w:type="dxa"/>
            <w:vAlign w:val="bottom"/>
          </w:tcPr>
          <w:p>
            <w:pPr>
              <w:spacing w:after="0"/>
              <w:rPr>
                <w:sz w:val="1"/>
                <w:szCs w:val="1"/>
                <w:color w:val="auto"/>
              </w:rPr>
            </w:pPr>
          </w:p>
        </w:tc>
      </w:tr>
      <w:tr>
        <w:trPr>
          <w:trHeight w:val="209"/>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FLSO Term Loan Facility</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15, 2028</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7.18%</w:t>
            </w: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FLFO Term Loan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272.9</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10.68%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Facility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7.18%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Revolving Credit Facility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7.49%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3.50% FLSO Senior Secured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May 15,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3.50% Senior Secured Notes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15, 2028</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100" w:type="dxa"/>
            <w:vAlign w:val="bottom"/>
            <w:gridSpan w:val="2"/>
          </w:tcPr>
          <w:p>
            <w:pPr>
              <w:jc w:val="center"/>
              <w:ind w:left="479"/>
              <w:spacing w:after="0"/>
              <w:rPr>
                <w:sz w:val="20"/>
                <w:szCs w:val="20"/>
                <w:color w:val="auto"/>
              </w:rPr>
            </w:pPr>
            <w:r>
              <w:rPr>
                <w:rFonts w:ascii="Times New Roman" w:cs="Times New Roman" w:eastAsia="Times New Roman" w:hAnsi="Times New Roman"/>
                <w:sz w:val="16"/>
                <w:szCs w:val="16"/>
                <w:color w:val="auto"/>
              </w:rPr>
              <w:t>3.50%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 Senior Notes</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100" w:type="dxa"/>
            <w:vAlign w:val="bottom"/>
            <w:gridSpan w:val="2"/>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5.375%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0" w:type="dxa"/>
            <w:vAlign w:val="bottom"/>
          </w:tcPr>
          <w:p>
            <w:pPr>
              <w:spacing w:after="0"/>
              <w:rPr>
                <w:sz w:val="1"/>
                <w:szCs w:val="1"/>
                <w:color w:val="auto"/>
              </w:rPr>
            </w:pPr>
          </w:p>
        </w:tc>
      </w:tr>
      <w:tr>
        <w:trPr>
          <w:trHeight w:val="207"/>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principal amount outstanding</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2,504.3</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Unamortized debt issuance costs, debt premium,</w:t>
            </w: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debt discount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debt</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2,800.2</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09"/>
        </w:trPr>
        <w:tc>
          <w:tcPr>
            <w:tcW w:w="3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Debt, excluding current portion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2,756.4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00" w:hanging="492"/>
        <w:spacing w:after="0" w:line="280" w:lineRule="auto"/>
        <w:tabs>
          <w:tab w:leader="none" w:pos="39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 interest rate as of each respective balance sheet date. The New Revolving Credit Facility interest rate is the weighted average interest rate of borrowings outstanding as of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Refinancing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Exchange</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we (together with certain of our subsidiaries) closed a private debt exchange (the “Private Exchange”) with (i) holders of the 3.50% Senior Secured Notes (the “Existing Secured Notes”) issued by Rackspace Technology Global (the “Existing Borrower”) representing more than 64% of the aggregate principal amount outstanding of the Existing Secured Notes as of December 31, 2023, and (ii) lenders representing more than 72% of the aggregate principal amount of the outstanding term loan facility under the First Lien Credit Agreement (the “Existing Term Loans”) as of December 31, 2023.</w:t>
      </w:r>
    </w:p>
    <w:p>
      <w:pPr>
        <w:spacing w:after="0" w:line="21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Pursuant to the Private Exchange, (i) $331.4 million aggregate principal amount of Existing Secured Notes and $1,588.8 million aggregate principal amount of the Existing Term Loans were exchanged or purchased for cancellation and (ii) $267.3 million aggregate principal amount of 3.50% FLSO Senior Secured Notes and $1,312.0 million aggregate principal amount the FLSO Term Loan Facility were issued by Rackspace Finance, LLC, a new subsidiary of the company (the “New Borrower”).</w:t>
      </w:r>
    </w:p>
    <w:p>
      <w:pPr>
        <w:spacing w:after="0" w:line="20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addition, the New Borrower issued $275.0 million aggregate principal amount of the FLFO Term Loan Facility and we repurchased and cancelled $69.3 million aggregate principal amount of the 5.375% Senior Notes.</w:t>
      </w:r>
    </w:p>
    <w:p>
      <w:pPr>
        <w:spacing w:after="0" w:line="187" w:lineRule="exact"/>
        <w:rPr>
          <w:sz w:val="20"/>
          <w:szCs w:val="20"/>
          <w:color w:val="auto"/>
        </w:rPr>
      </w:pPr>
    </w:p>
    <w:p>
      <w:pPr>
        <w:ind w:right="180"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3.50% FLSO Senior Secured Notes, FLSO Term Loan Facility, and FLFO Term Loan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Exchanges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13, 2024, we launched an offer to all of the holders of the Existing Borrower’s remaining Existing Term Loans (the “Public Term Loan Exchange”). On March 26, 2024, we closed the Public Term Loan Exchange, pursuant to which (i) $529.9 million aggregate principal amount of the Existing Term Loans were exchanged or purchased for cancellation and (ii) $375.1 million aggregate principal amount of FLSO Term Loans was issued by the New Borrower.</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14, 2024, we launched an offer to all of the holders of the Existing Borrower’s remaining Existing Secured Notes (the “Public Note Exchange”). On April 16, 2024, we completed the Public Note Exchange, pursuant to which (i) $138.4 million aggregate principal amount of Existing Secured Notes were exchanged or purchased for cancellation and (ii) $96.9 million aggregate principal amount of 3.50% FLSO Senior Secured Notes were issued by the New Borrower.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12, 2024, the New Borrower also established the New Revolving Credit Facility with commitments in an aggregate principal amount of $375.0 million. All revolving lenders under the prior Revolving Credit Facility exchanged their revolving loan commitments for commitments in respect of the New Revolving Credit Facility, which replaces in full the prior Revolving Credit Facility. The New Revolving Credit Facility matures on May 15, 2028. See “</w:t>
      </w:r>
      <w:r>
        <w:rPr>
          <w:rFonts w:ascii="Times New Roman" w:cs="Times New Roman" w:eastAsia="Times New Roman" w:hAnsi="Times New Roman"/>
          <w:sz w:val="18"/>
          <w:szCs w:val="18"/>
          <w:i w:val="1"/>
          <w:iCs w:val="1"/>
          <w:color w:val="auto"/>
        </w:rPr>
        <w:t>New Debt Instruments</w:t>
      </w:r>
      <w:r>
        <w:rPr>
          <w:rFonts w:ascii="Times New Roman" w:cs="Times New Roman" w:eastAsia="Times New Roman" w:hAnsi="Times New Roman"/>
          <w:sz w:val="18"/>
          <w:szCs w:val="18"/>
          <w:color w:val="auto"/>
        </w:rPr>
        <w:t>” below for additional discussion of the New Revolving Credit Facility.</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refer to the Private Exchange, the Public Term Loan Exchange, the Public Note Exchange and the entry into the New Revolving Credit Facility, collectively, as the “March 2024 Refinancing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Impacts</w:t>
      </w:r>
    </w:p>
    <w:p>
      <w:pPr>
        <w:spacing w:after="0" w:line="254"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performed an assessment of the March 2024 Refinancing Transactions and determined it met the criteria to be accounted for as a troubled debt restructuring under Accounting Standards Codification No. 470-60, </w:t>
      </w:r>
      <w:r>
        <w:rPr>
          <w:rFonts w:ascii="Times New Roman" w:cs="Times New Roman" w:eastAsia="Times New Roman" w:hAnsi="Times New Roman"/>
          <w:sz w:val="18"/>
          <w:szCs w:val="18"/>
          <w:i w:val="1"/>
          <w:iCs w:val="1"/>
          <w:color w:val="auto"/>
        </w:rPr>
        <w:t>Troubled Debt Restructurings by Debtors</w:t>
      </w:r>
      <w:r>
        <w:rPr>
          <w:rFonts w:ascii="Times New Roman" w:cs="Times New Roman" w:eastAsia="Times New Roman" w:hAnsi="Times New Roman"/>
          <w:sz w:val="18"/>
          <w:szCs w:val="18"/>
          <w:color w:val="auto"/>
        </w:rPr>
        <w:t>. For each series of the Existing Debt Instruments exchanged, the undiscounted cash flows associated with the New Debt Instruments issued were compared to the carrying value of the Existing Debt Instruments exchanged for such New Debt Instruments and the applicable exchange was accounted for as follows: (i) to the extent the undiscounted cash flows of the New Debt Instruments in question were lower than the carrying value of the applicable Existing Debt Instruments exchanged, the carrying value of the applicable New Debt Instruments was established at the total of these undiscounted cash flows, with a gain recorded for the remaining difference between this value and the carrying value of the applicable Existing Debt Instruments (as such, no interest expense will be recorded for the applicable 3.50% FLSO Senior Secured Notes prospectively) and (ii) to the extent the undiscounted cash flows of the New Debt Instruments in question exceeded the carrying value of the applicable Existing Debt Instruments exchanged, the carrying value of the applicable New Debt Instruments was established at the carrying value of the applicable Existing Debt Instruments and the company established new effective interest rates based on the carrying value of the applicable Existing Term Loans prior to the March 2024 Refinancing Transactions.</w:t>
      </w:r>
    </w:p>
    <w:p>
      <w:pPr>
        <w:spacing w:after="0" w:line="2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difference between the principal amount of the 3.50% FLSO Senior Secured Notes and the carrying value was recorded as a premium and is included in long-term debt on the company’s Condensed Consolidated Balance Sheets.</w:t>
      </w:r>
    </w:p>
    <w:p>
      <w:pPr>
        <w:spacing w:after="0" w:line="189"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premium recorded on the 3.50% FLSO Senior Secured Notes was $39.1 million, which will be reduced as contractual interest payments are made on the 3.50% FLSO Senior Secured Notes.</w:t>
      </w:r>
    </w:p>
    <w:p>
      <w:pPr>
        <w:spacing w:after="0" w:line="189" w:lineRule="exact"/>
        <w:rPr>
          <w:sz w:val="20"/>
          <w:szCs w:val="20"/>
          <w:color w:val="auto"/>
        </w:rPr>
      </w:pPr>
    </w:p>
    <w:p>
      <w:pPr>
        <w:ind w:right="6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March 2024 Refinancing Transactions, the company recorded a gain in the first quarter of 2024 of $56.7 million after deducting third-party costs and lender fees incurred. The gain is included in "Gain on debt extinguishment, net of debt modification costs" in our Condensed Consolidated Statements of Comprehensive Income (Loss). We incurred third party fees of $28.4 million.</w:t>
      </w:r>
    </w:p>
    <w:p>
      <w:pPr>
        <w:spacing w:after="0" w:line="203" w:lineRule="exact"/>
        <w:rPr>
          <w:sz w:val="20"/>
          <w:szCs w:val="20"/>
          <w:color w:val="auto"/>
        </w:rPr>
      </w:pPr>
    </w:p>
    <w:p>
      <w:pPr>
        <w:ind w:right="280" w:firstLine="486"/>
        <w:spacing w:after="0" w:line="289" w:lineRule="auto"/>
        <w:rPr>
          <w:sz w:val="20"/>
          <w:szCs w:val="20"/>
          <w:color w:val="auto"/>
        </w:rPr>
      </w:pPr>
      <w:r>
        <w:rPr>
          <w:rFonts w:ascii="Times New Roman" w:cs="Times New Roman" w:eastAsia="Times New Roman" w:hAnsi="Times New Roman"/>
          <w:sz w:val="17"/>
          <w:szCs w:val="17"/>
          <w:color w:val="auto"/>
        </w:rPr>
        <w:t>The March 2024 Refinancing Transactions were completed in April 2024 with the closing of the Public Note Exchange. In connection with the Public Note Exchange, we recorded a $23.3 million gain, after deducting $3.3 million of third-party fees, in the second quarter of 2024. The gain is included in "Gain on debt extinguishment, net of debt modification costs" in our Condensed Consolidated Statements of Comprehensive Income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280" w:firstLine="486"/>
        <w:spacing w:after="0" w:line="289" w:lineRule="auto"/>
        <w:rPr>
          <w:sz w:val="20"/>
          <w:szCs w:val="20"/>
          <w:color w:val="auto"/>
        </w:rPr>
      </w:pPr>
      <w:r>
        <w:rPr>
          <w:rFonts w:ascii="Times New Roman" w:cs="Times New Roman" w:eastAsia="Times New Roman" w:hAnsi="Times New Roman"/>
          <w:sz w:val="17"/>
          <w:szCs w:val="17"/>
          <w:color w:val="auto"/>
        </w:rPr>
        <w:t>On March 12, 2024, Rackspace Finance Holdings, LLC (“Rackspace Finance Holdings”), the New Borrower,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New Borrower issued the FLSO Term Loan Facility in an aggregate principal amount of $1,687.2 million. The FLSO Term Loan Facility matures on May 15, 2028. Borrowings under the FLSO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2.75%.</w:t>
      </w:r>
    </w:p>
    <w:p>
      <w:pPr>
        <w:spacing w:after="0" w:line="21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 contractual interest rate on the FLSO Term Loan Facility was 7.18%. We are required to make quarterly principal payments of $4.2 million, which began on March 31, 2024. See Note 11, “Derivatives,” for information on interest rate swap agreements we utilize to manage the interest rate risk on the FLSO Term Loan Facility.</w:t>
      </w:r>
    </w:p>
    <w:p>
      <w:pPr>
        <w:spacing w:after="0" w:line="203"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Affiliates of Apollo are FLSO Term Loan Facility lenders under the New First Lien Credit Agreement. As of June 30, 2025, the outstanding principal amount of the FLSO Term Loan Facility was $1,618.4 million, of which $80.1 million, or 4.9%, is due to Apollo affiliates.</w:t>
      </w:r>
    </w:p>
    <w:p>
      <w:pPr>
        <w:spacing w:after="0" w:line="18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FLSO Term Loan Facility, together with accrued and unpaid interest, subject to the applicable “make-whole” premium. On or after September 12, 2025, the New Borrower may prepay some or all of the FLSO Term Loan Facility, together with accrued and unpaid interest, without prepayment premium or penalty.</w:t>
      </w:r>
    </w:p>
    <w:p>
      <w:pPr>
        <w:spacing w:after="0" w:line="20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the New Borrower repurchased and surrendered for cancellation $19.3 million principal amount of the FLSO Term Loan Facility for $9.4 million. In connection with these repurchases, we recorded a gain, included in "Gain on debt extinguishment, net of debt modification costs", of $14.1 million in our Condensed Consolidated Statements of Comprehensive Income (Loss) for the three and six months ended June 30, 2024, which includes $4.1 million of unamortized debt issuance costs and debt premium write-offs.</w:t>
      </w:r>
    </w:p>
    <w:p>
      <w:pPr>
        <w:spacing w:after="0" w:line="207"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FLSO Term Loan Facility as of June 30, 2025 was $744.5 million, based on quoted market prices for identical assets that are traded in over-the-counter secondary markets that are not considered active. The fair value of the FLSO Term Loan Facility is classified as Level 2 within the fair value hierarchy.</w:t>
      </w:r>
    </w:p>
    <w:p>
      <w:pPr>
        <w:spacing w:after="0" w:line="203"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FLSO Term Loan Facility are guaranteed on a senior secured basis, jointly and severally, by Rackspace Finance Holdings on a limited-recourse basis and by certain of the New Borrower’s subsidiaries (the “Subsidiary Guarantors”). The obligations under the FLSO Term Loan Facility are secured by a pledge of the New Borrower’s capital stock directly held by Rackspace Finance Holdings and substantially all of the New Borrower’s and the Subsidiary Guarantors’ assets, subject to exceptions.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FLSO Term Loan Facility contains certain customary affirmative covenants, negative covenants, and events of default.</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three-months’ duration, and 0.43% for an interest period of six-months’ duration, subject to a 0.75% floor, plus an applicable margin of 6.25% and were issued with 1.00% of original issue discount.</w:t>
      </w:r>
    </w:p>
    <w:p>
      <w:pPr>
        <w:spacing w:after="0" w:line="214"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 contractual interest rate on the FLFO Term Loan Facility was 10.68%. We are required to make quarterly principal payments of $0.7 million, which began on June 30, 2024. See Note 11, “Derivatives,” for information on interest rate swap agreements we utilize to manage the interest rate risk on the FLFO Term Loan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Prior to September 12, 2025, the New Borrower may prepay some or all of the FLFO Term Loan Facility, together with accrued and unpaid interest, subject to the applicable “make-whole” premium. On or after September 12, 2025 but prior to September 12, 2027, the New Borrower 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the New Borrower may prepay some or all of the FLFO Term Loan Facility, together with accrued and unpaid interest, without prepayment premium or penalty.</w:t>
      </w:r>
    </w:p>
    <w:p>
      <w:pPr>
        <w:spacing w:after="0" w:line="214"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FLFO Term Loan Facility as of June 30, 2025 was $273.3 million, based on quoted market prices for identical assets that are traded in over-the-counter secondary markets that are not considered active. The fair value of the FLFO Term Loan Facility is classified as Level 2 within the fair value hierarchy.</w:t>
      </w:r>
    </w:p>
    <w:p>
      <w:pPr>
        <w:spacing w:after="0" w:line="203"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FLFO Term Loan Facility contains certain customary affirmative covenants, negative covenants, and events of default.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New Borrower established the New Revolving Credit Facility in an aggregate principal amount of $375.0 million of commitments. The New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After June 30, 2024, the applicable margin became subject to a net first lien leverage-based pricing grid as set forth in the New First Lien Credit Agreement. In addition to paying interest on the outstanding principal under the New Revolving Credit Facility, the New Borrower is required to pay a commitment fee equal to initially 0.50% per annum to the lenders under the New Revolving Credit Facility in respect of the unutilized commitments thereunder. After June 30, 2024, the commitment fee became subject to a net first lien leverage-based pricing grid as set forth in the New First Lien Credit Agreement. The New Borrower may prepay loans incurred under the New Revolving Credit Facility, together with accrued and unpaid interest, without prepayment premium or penalty.</w:t>
      </w:r>
    </w:p>
    <w:p>
      <w:pPr>
        <w:spacing w:after="0" w:line="215"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7"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New Revolving Credit Facility contains certain customary affirmative covenants, negative covenants, and events of default. In addition, the New Revolving Credit Facility contains a financial covenant which limits the super-priority net senior secured leverage ratio to a maximum of 5.00 to 1.00; however, this covenant is only applicable and tested if the aggregate amount of outstanding borrowings under the New Revolving Credit Facility and letters of credit issued thereunder (excluding $25.0 million of undrawn letters of credit and cash collateralized letters of credit) as of the last day of a fiscal quarter is greater than 35% of the New Revolving Credit Facility commitments as of the last day of such fiscal quarter.</w:t>
      </w:r>
    </w:p>
    <w:p>
      <w:pPr>
        <w:spacing w:after="0" w:line="210"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borrowed $80.0 million and repaid $15.0 million on the New Revolving Credit Facility. As of June 30, 2025, we had total commitments of $375.0 million, $65.0 million of outstanding borrowings under the New Revolving Credit Facility, and $23.5 million of letters of credit issued thereunder. As such, as of June 30, 2025, we had $310.0 million of available commitments remaining.</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were in compliance with all covenants under the New Senior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12, 2024, the New Borrower issued $267.3 million initial aggregate principal amount of the 3.50% FLSO Senior Secured Notes. On April 2, 2024 and April 16, 2024, the New Borrower issued additional 3.50% FLSO Senior Secured Notes in an aggregate principal amount of $93.3 million and $3.6 million, respectively. The 3.50% FLSO Senior Secured Notes will mature on May 15, 2028 and bear interest at an annual fixed rate of 3.50%. Interest is payable semiannually on February 15 and August 15, commencing on August 15, 2024. The 3.50% FLSO Senior Secured Notes are not subject to registration rights.</w:t>
      </w:r>
    </w:p>
    <w:p>
      <w:pPr>
        <w:spacing w:after="0" w:line="21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New Borrower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New Borrower may redeem some or all of the 3.50% FLSO Senior Secured Notes at its option prior to September 12, 2025 at a redemption price equal to 100% of the principal amount of the 3.50% FLSO Senior Secured Notes redeemed, plus a “make-whole” premium described in the indenture governing the 3.50% FLSO Senior Secured Notes (the “3.50% FLSO Senior Secured Notes Indenture”), plus accrued and unpaid interest, if any, to, but excluding, the redemption date. Commencing September 12, 2025, the New Borrower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spacing w:after="0" w:line="21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New Borrower repurchased and surrendered for cancellation $45.7 million principal amount of the 3.50% FLSO Senior Secured Notes for $19.3 million, including accrued interest of $0.4 million. In connection with these repurchases, we recorded a gain, included in "Gain on debt extinguishment, net of debt modification costs", of $33.0 million, in our Condensed Consolidated Statements of Comprehensive Income (Loss) for the three and six months ended June 30, 2024, which includes $6.3 million of unamortized debt issuance costs and debt premium write-offs.</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were in compliance with all covenants under the 3.50% FLSO Senior Secured Notes Indenture.</w:t>
      </w:r>
    </w:p>
    <w:p>
      <w:pPr>
        <w:spacing w:after="0" w:line="252"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FLSO Senior Secured Notes as of June 30, 2025 was $129.8 million based on quoted market prices for identical assets that are traded in over-the-counter secondary markets that are not considered active. The fair value of the 3.50% FLSO Senior Secured Notes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Facilities</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senior secured credit facilities include the Term Loan Facility and the prior Revolving Credit Facility (together, the "Senior Facilities").</w:t>
      </w:r>
    </w:p>
    <w:p>
      <w:pPr>
        <w:spacing w:after="0" w:line="252" w:lineRule="exact"/>
        <w:rPr>
          <w:sz w:val="20"/>
          <w:szCs w:val="20"/>
          <w:color w:val="auto"/>
        </w:rPr>
      </w:pPr>
    </w:p>
    <w:p>
      <w:pPr>
        <w:jc w:val="both"/>
        <w:ind w:right="40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Facilities (the "First Lien Credit Agreement"), which included a seven-year $2,300.0 million senior secured first lien term loan facility due on February 15, 2028 and our existing $375.0 million Revolving Credit Facility.</w:t>
      </w: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On April 26, 2023, we executed an amendment to our First Lien Credit Agreement to establish Term SOFR as the benchmark rate for determining the applicable interest rate, replacing LIBOR.</w:t>
      </w:r>
    </w:p>
    <w:p>
      <w:pPr>
        <w:spacing w:after="0" w:line="189"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As a result of the amendment, borrowings under the Senior Facilities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w:t>
      </w:r>
    </w:p>
    <w:p>
      <w:pPr>
        <w:spacing w:after="0" w:line="1"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7"/>
          <w:szCs w:val="17"/>
          <w:color w:val="auto"/>
        </w:rPr>
        <w:t>0.26% for an interest period of three-months' duration, and 0.43% for an interest period of six-months' duration, subject to a 0.75% floor, in the case of the Term Loan Facility, and a 1.00% floor, in the case of the prior Revolving Credit Facility, or (b) a base rate determined by reference to the highest of (i) the federal funds rate plus 0.50%, (ii) the prime rate last quoted by The Wall Street Journal and (iii) adjusted Term SOFR for a one-month tenor plus 1.00%.</w:t>
      </w:r>
    </w:p>
    <w:p>
      <w:pPr>
        <w:spacing w:after="0" w:line="19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applicable margin for the Term Loan Facility is 2.75% for SOFR loans and 1.75% for base rate loans and the applicable margin for the prior Revolving Credit Facility was 3.00% for SOFR loans and 2.00% for base rate loans. Interest is due at the end of each interest period elected, not exceeding 90 days, for SOFR loans and at the end of every calendar quarter for base rate loans.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other material terms and conditions of the First Lien Credit Agreement were unchanged.</w:t>
      </w:r>
    </w:p>
    <w:p>
      <w:pPr>
        <w:spacing w:after="0" w:line="23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outstanding principal under the Senior Facilities, the prior Revolving Credit Facility also included a commitment fee equal to 0.50% per annum in respect of the unused commitments that was due quarterly. This commitment fee was subject to one step-down based on the net first lien leverage ratio.</w:t>
      </w:r>
    </w:p>
    <w:p>
      <w:pPr>
        <w:spacing w:after="0" w:line="203"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 contractual interest rate on the Term Loan Facility was 7.18%. We are required to make quarterly principal payments of $0.2 million. See Note 11, “Derivatives,” for information on interest rate swap agreements we utilize to manage the interest rate risk on the Term Loan Facility.</w:t>
      </w:r>
    </w:p>
    <w:p>
      <w:pPr>
        <w:spacing w:after="0" w:line="203"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addition to the quarterly amortization payments discussed above, the Senior Facilities require us to make certain mandatory prepayments, including using (i) a portion of annual excess cash flow, as defined in the First Lien Credit Agreement, to prepay the Term Loan Facility, (ii) net cash proceeds of certain non-ordinary assets sales or dispositions of property to prepay the Term Loan Facility and (iii) net cash proceeds of any issuance or incurrence of debt not permitted under the Senior Facilities to prepay the Term Loan Facility. We may make voluntary prepayments at any time without penalty.</w:t>
      </w:r>
    </w:p>
    <w:p>
      <w:pPr>
        <w:spacing w:after="0" w:line="208"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color w:val="auto"/>
        </w:rPr>
        <w:t>As a result of the Private Exchange and the Public Term Loan Exchange, discussed within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over 97% of the $2,181.2 million aggregate principal amount of the Term Loan Facility outstanding as of December 31, 2023 was exchanged or purchased for cancellation.</w:t>
      </w:r>
    </w:p>
    <w:p>
      <w:pPr>
        <w:spacing w:after="0" w:line="20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only financial covenant was with respect to the prior Revolving Credit Facility. As discussed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on March 12, 2024, all revolving lenders under the prior Revolving Credit Facility exchanged their revolving loan commitments for commitments in respect of the New Revolving Credit Facility, which replaced in full the prior Revolving Credit Facility. See “</w:t>
      </w:r>
      <w:r>
        <w:rPr>
          <w:rFonts w:ascii="Times New Roman" w:cs="Times New Roman" w:eastAsia="Times New Roman" w:hAnsi="Times New Roman"/>
          <w:sz w:val="18"/>
          <w:szCs w:val="18"/>
          <w:i w:val="1"/>
          <w:iCs w:val="1"/>
          <w:color w:val="auto"/>
        </w:rPr>
        <w:t>New Revolving Credit Facility</w:t>
      </w:r>
      <w:r>
        <w:rPr>
          <w:rFonts w:ascii="Times New Roman" w:cs="Times New Roman" w:eastAsia="Times New Roman" w:hAnsi="Times New Roman"/>
          <w:sz w:val="18"/>
          <w:szCs w:val="18"/>
          <w:color w:val="auto"/>
        </w:rPr>
        <w:t>” above for information regarding this new debt instrument.</w:t>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were in compliance with all covenants under the Senior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Term Loan Facility as of June 30, 2025 was $20.6 million, based on quoted market prices for identical assets that are traded in over-the-counter secondary markets that are not considered active. The fair value of the Term Loan Facility is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Rackspace Technology Global issued $550.0 million aggregate principal amount of the 3.50% Senior Secured Notes. The 3.50% Senior Secured Notes will mature on February 15, 2028 and bear interest at an annual fixed rate of 3.50%. Interest is payable semiannually on February 15 and August 15, commencing on August 15, 2021. The 3.50% Senior Secured Notes are not subject to registration rights.</w:t>
      </w:r>
    </w:p>
    <w:p>
      <w:pPr>
        <w:spacing w:after="0" w:line="20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Rackspace Technology Global may redeem the 3.50% Senior Secured Notes at its option, in whole at any time or in part from time to time, at the following redemption prices: from February 15, 2025 to February 14, 2026, at a redemption price equal to 100.875% of the principal amount, plus accrued and unpaid interest, if any, to but excluding the redemption date; and from February 15, 2026 and thereafter, at a redemption price equal to 100.000% of the principal amount, plus accrued and unpaid interest, if any, to but excluding the redemption date. Notwithstanding the foregoing, Rackspace Technology Global may redeem during each twelve-month period, commencing with February 9, 2021, up to 10.0% of the original aggregate principal amount of the 3.50% Senior Secured Notes at a redemption price of 103.000%, plus accrued and unpaid interest, if any, to, but excluding, the applicable redemption date.</w:t>
      </w:r>
    </w:p>
    <w:p>
      <w:pPr>
        <w:spacing w:after="0" w:line="21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Private Exchange and the Public Note Exchange, discussed above, over 91% of the $513.7 million aggregate principal amount of the 3.50% Senior Secured Notes outstanding as of December 31, 2023 was exchanged or purchased for cancellation.</w:t>
      </w:r>
    </w:p>
    <w:p>
      <w:pPr>
        <w:spacing w:after="0" w:line="18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Rackspace Technology Global was in compliance with all covenants under the 3.50% Notes Indenture.</w:t>
      </w:r>
    </w:p>
    <w:p>
      <w:pPr>
        <w:spacing w:after="0" w:line="25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3.50% Senior Secured Notes as of June 30, 2025 was $21.3 million, based on quoted market prices for identical assets that are traded in over-the-counter secondary markets that are not considered active. The fair value of the 3.50% Senior Secured Notes are classified as Level 2 within the fair value hierarchy.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On December 1, 2020, Rackspace Technology Global issued $550.0 million aggregate principal amount of the 5.375% Senior Notes. The 5.375% Senior Notes will mature on December 1, 2028 and bear interest at an annual fixed rate of 5.375%. Interest is payable semiannually on June 1 and December 1, commencing on June 1, 2021. The 5.375% Senior Notes are not subject to registration rights.</w:t>
      </w:r>
    </w:p>
    <w:p>
      <w:pPr>
        <w:spacing w:after="0" w:line="20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may redeem the 5.375% Senior Notes at its option, in whole at any time or in part from time to time, at the following redemption prices: from December 1, 2024 to November 30, 2025, at a redemption price equal to 101.344% of the principal amount, plus accrued and unpaid interest, if any, to but excluding the redemption date; and from December 1, 2025 and thereafter, at a redemption price equal to 100.000% of the principal amount, plus accrued and unpaid interest, if any, to but excluding the redemption date.</w:t>
      </w:r>
    </w:p>
    <w:p>
      <w:pPr>
        <w:spacing w:after="0" w:line="205" w:lineRule="exact"/>
        <w:rPr>
          <w:sz w:val="20"/>
          <w:szCs w:val="20"/>
          <w:color w:val="auto"/>
        </w:rPr>
      </w:pPr>
    </w:p>
    <w:p>
      <w:pPr>
        <w:ind w:right="780" w:firstLine="486"/>
        <w:spacing w:after="0" w:line="284" w:lineRule="auto"/>
        <w:rPr>
          <w:sz w:val="20"/>
          <w:szCs w:val="20"/>
          <w:color w:val="auto"/>
        </w:rPr>
      </w:pPr>
      <w:r>
        <w:rPr>
          <w:rFonts w:ascii="Times New Roman" w:cs="Times New Roman" w:eastAsia="Times New Roman" w:hAnsi="Times New Roman"/>
          <w:sz w:val="18"/>
          <w:szCs w:val="18"/>
          <w:color w:val="auto"/>
        </w:rPr>
        <w:t>As previously described in “</w:t>
      </w:r>
      <w:r>
        <w:rPr>
          <w:rFonts w:ascii="Times New Roman" w:cs="Times New Roman" w:eastAsia="Times New Roman" w:hAnsi="Times New Roman"/>
          <w:sz w:val="18"/>
          <w:szCs w:val="18"/>
          <w:i w:val="1"/>
          <w:iCs w:val="1"/>
          <w:color w:val="auto"/>
        </w:rPr>
        <w:t>March 2024 Refinancing Transactions</w:t>
      </w:r>
      <w:r>
        <w:rPr>
          <w:rFonts w:ascii="Times New Roman" w:cs="Times New Roman" w:eastAsia="Times New Roman" w:hAnsi="Times New Roman"/>
          <w:sz w:val="18"/>
          <w:szCs w:val="18"/>
          <w:color w:val="auto"/>
        </w:rPr>
        <w:t>” above, as part of the Private Exchange, we repurchased and cancelled $69.3 million aggregate principal amount of the 5.375% Senior Notes during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during the three and six months ended June 30, 2024, Rackspace Technology Global repurchased and surrendered for cancellation $2.9 million principal amount of 5.375% Senior Notes for $0.8 million. In connection with these repurchases, we recorded a gain, included in "Gain on debt extinguishment, net of debt modification costs", of $2.1 million, in our Condensed Consolidated Statements of Comprehensive Income (Loss) for the three and six months ended June 30, 2024.</w:t>
      </w:r>
    </w:p>
    <w:p>
      <w:pPr>
        <w:spacing w:after="0" w:line="20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Rackspace Technology Global was in compliance with all covenants under the 5.375% Notes Indenture.</w:t>
      </w:r>
    </w:p>
    <w:p>
      <w:pPr>
        <w:spacing w:after="0" w:line="252"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5.375% Senior Notes as of June 30, 2025 was $30.2 million, based on quoted market prices for identical assets that are traded in over-the-counter secondary markets that are not considered active. The fair value of the 5.375% Senior Notes are classified as Level 2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contingencies that arise from various litigation, claims and commitments, none of which we consider to be material.</w:t>
      </w:r>
    </w:p>
    <w:p>
      <w:pPr>
        <w:spacing w:after="0" w:line="25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spacing w:after="0" w:line="210"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spacing w:after="0" w:line="20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We are not a party to any litigation, the outcome of which, if determined adversely to us, would individually or in the aggregate be reasonably expected to have a material and adverse effect on our business,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25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granted 9.3 million restricted stock units ("RSUs") under the 2020 Incentive Plan with a weighted-average grant date fair value of $1.46. The majority of the RSUs were granted as part of our annual compensation award process and vest ratably over a three-year period, subject to continued service.</w:t>
      </w:r>
    </w:p>
    <w:p>
      <w:pPr>
        <w:spacing w:after="0" w:line="20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addition, during the six months ended June 30, 2025, we granted 30.2 million long-term incentive cash units (“LTIC units”) under the 2020 Incentive Plan. The awards were valued using a Monte Carlo simulation and as of June 30, 2025 the LTIC units had a weighted average fair value of $0.71. The LTIC units represent the target amount of grants, and the actual number of units awarded upon vesting may vary depending upon the achievement of the relevant market condition which is based on the performance of our common stock. The awards are eligible to vest in equal installments over three years based on the attainment of the market condition and the employee’s continued service through the vesting date. As the company intends to settle the LTIC units in cash, they were classified as liabilities within “Other current liabilities” and “Other non-current liabilities” in the Condensed Consolidated Balance Sheets.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is comprised of the following equity and liability classified award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awards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Liability classified awards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recognized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share-based compensation expense</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3"/>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benefit</w:t>
            </w: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4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share-based compensation expense, net of tax</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there was $29.9 million of total unrecognized compensation cost related to RSUs and performance stock units, which will be recognized using the service period or over our best estimate of the period over which the performance condition will be met,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Taxes</w:t>
      </w:r>
    </w:p>
    <w:p>
      <w:pPr>
        <w:spacing w:after="0" w:line="256"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tax credits,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June 30, 2025, our effective tax rate is lower than the U.S. federal statutory rate of 21% primarily due to the tax impact associated with changes in valuation allowance, executive compensation that is nondeductible under Internal Revenue Code (“IRC”) Section 162(m), and the net impact of the geographic distribution of our earnings. For the six months ended June 30, 2025, our effective tax rate is lower than the U.S. federal statutory rate of 21% primarily due to the tax impact associated with changes in valuation allowance, executive compensation that is nondeductible under Internal Revenue Code (“IRC”) Section 162(m), the net impact of the geographic distribution of our earnings, and the tax effects from nondeductible share-based compensation.</w:t>
      </w:r>
    </w:p>
    <w:p>
      <w:pPr>
        <w:spacing w:after="0" w:line="2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The OBBBA legislation includes changes to U.S federal tax law, which may be subject to further clarification and the issuance of interpretive guidance. We are assessing the legislation and its effect on our consolidated financial statements, which we expect to begin reflecting in the financials for the period ended September 30, 2025.</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Derivatives</w:t>
      </w:r>
    </w:p>
    <w:p>
      <w:pPr>
        <w:spacing w:after="0" w:line="256"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5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w:t>
      </w:r>
    </w:p>
    <w:p>
      <w:pPr>
        <w:spacing w:after="0" w:line="210"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On January 9, 2020, we designated certain of our swaps as cash flow hedges. On the designation date, the cash flow hedges were in a $39.9 million liability position. The cash flow hedges were expected to be highly effective on the designation date and, on a quarterly basis, we performed retrospective and prospective regression assessments to determine whether the cash flow hedges continue to be highly effective. As long as the cash flow hedges are highly effective, changes in fair value are recorded to "Accumulated other comprehensive income" in the Condensed Consolidated Balance Sheets and reclassified to "Interest expense" in the period when the underlying transaction affects earnings. The income tax effects of cash flow hedges are released from "Accumulated other comprehensive income" in the period when the underlying transaction affects earnings. Any stranded income tax effects are released from "Accumulated other comprehensive income" into "Benefit for income taxes" under the portfolio approach.</w:t>
      </w:r>
    </w:p>
    <w:p>
      <w:pPr>
        <w:spacing w:after="0" w:line="21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we completed a series of transactions to modify our interest rate swap positions as follows: (i) All the interest rate swaps outstanding as of December 31, 2020, with the exception of the agreement that matured on February 3, 2021, were de-designated as cash flow hedges on January 31, 2021, (ii) on February 12, 2021, we entered into a $900.0 million receive-fixed interest rate swap which was designed to offset the terms of two December 2016 swaps, and (iii) on February 12, 2021, we terminated all December 2018 swaps and entered into a $1.35 billion pay-fixed interest rate swap, effectively blending the liability position of our existing interest rate swap agreements into the new swap and extending the term of our hedged position to February 2026.</w:t>
      </w:r>
    </w:p>
    <w:p>
      <w:pPr>
        <w:spacing w:after="0" w:line="214"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amount remaining in "Accumulated other comprehensive income" for the de-designated December 2016 and December 2018 swaps at the de-designation date was approximately $51.6 million, and was amortized as an increase to "Interest expense" over the effective period of the original swap agreements.</w:t>
      </w:r>
    </w:p>
    <w:p>
      <w:pPr>
        <w:spacing w:after="0" w:line="20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new receive-fixed interest rate swap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derivative for which the fair value option has been elected. This $900.0 million swap remained undesignated to economically offset the undesignated December 2016 swaps. This new swap and the December 2016 swaps matured on February 3, 2022. Cash settlements related to this receive-fixed interest rate swap offset and are classified as operating activities in the Condensed Consolidated Statements of Cash Flows.</w:t>
      </w:r>
    </w:p>
    <w:p>
      <w:pPr>
        <w:spacing w:after="0" w:line="20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new pay-fixed interest rate swap also qualifies as a hybrid instrument in accordance with ASC No.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consisting of a loan and an embedded at-market derivative that was designated as a cash flow hedge. The loan is accounted for at amortized cost over the life of the swap while the embedded at-market derivative is accounted for at fair value. The $1.35 billion swap was originally indexed to three-month LIBOR and net settled on a quarterly basis with the counterparty for the difference between the fixed rate of 2.3820% and the variable rate based upon three-month LIBOR (subject to a floor of 0.75%) as applied to the notional amount of the swap. In connection with the transactions discussed above, no cash was exchanged between us and the counterparty. The liability of the terminated interest rate swaps as well as the inception value of the receive-fixed interest rate swap was blended into the new pay-fixed interest rate swap. The cash flows related to the portion treated as debt will be classified as financing activities in the Condensed Consolidated Statements of Cash Flows while the portion treated as an at-market derivative will be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7, "Debt", on April 26, 2023 we executed an amendment to our First Lien Credit Agreement, which governs borrowings under our Term Loan Facility. This amendment established Term SOFR as the benchmark rate for determining the applicable interest rate, replacing LIBOR. To continue to manage our exposure to interest rate risk associated with our Term Loan Facility, effective May 9, 2023, we amended our remaining swap agreement to change the index from three-month LIBOR (subject to a floor of 0.75%) to one-month Term SOFR (subject to a floor of 0.75%). The fixed rate also changed from 2.3820% to 2.34150% as a result of the swap agreement amendment.</w:t>
      </w:r>
    </w:p>
    <w:p>
      <w:pPr>
        <w:spacing w:after="0" w:line="21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On a monthly basis, we net settle with the counterparty for the difference between the fixed rate of 2.34150% and the variable rate based upon the one-month Term SOFR (subject to a floor of 0.75%) as applied to the notional amount of the swap.</w:t>
      </w:r>
    </w:p>
    <w:p>
      <w:pPr>
        <w:spacing w:after="0" w:line="189"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conjunction with the March 2024 Refinancing Transactions, as discussed in Note 7, “Debt”, we issued additional borrowings and used the proceeds to repay previously hedged borrowings under the Term Loan Facility. Given that the specific intent of the new borrowings was a replacement of the previously hedged borrowings and the economic characteristics were the same, we continue to apply hedge accounting on the replacement borrowings.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and June 30, 2025, the cash flow hedge was highly effective.</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our remaining interest rate swap are presented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9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1700" w:type="dxa"/>
            <w:vAlign w:val="bottom"/>
            <w:gridSpan w:val="2"/>
          </w:tcPr>
          <w:p>
            <w:pPr>
              <w:jc w:val="right"/>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980" w:type="dxa"/>
            <w:vAlign w:val="bottom"/>
            <w:gridSpan w:val="3"/>
          </w:tcPr>
          <w:p>
            <w:pPr>
              <w:jc w:val="center"/>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Notional Amount (in</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2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280" w:type="dxa"/>
            <w:vAlign w:val="bottom"/>
            <w:gridSpan w:val="2"/>
            <w:vMerge w:val="continue"/>
          </w:tcPr>
          <w:p>
            <w:pPr>
              <w:spacing w:after="0"/>
              <w:rPr>
                <w:sz w:val="18"/>
                <w:szCs w:val="18"/>
                <w:color w:val="auto"/>
              </w:rPr>
            </w:pPr>
          </w:p>
        </w:tc>
        <w:tc>
          <w:tcPr>
            <w:tcW w:w="19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000" w:type="dxa"/>
            <w:vAlign w:val="bottom"/>
            <w:gridSpan w:val="2"/>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9, 2021</w:t>
            </w:r>
          </w:p>
        </w:tc>
        <w:tc>
          <w:tcPr>
            <w:tcW w:w="1180" w:type="dxa"/>
            <w:vAlign w:val="bottom"/>
            <w:shd w:val="clear" w:color="auto" w:fill="CCEEFF"/>
          </w:tcPr>
          <w:p>
            <w:pPr>
              <w:jc w:val="center"/>
              <w:ind w:right="79"/>
              <w:spacing w:after="0" w:line="216" w:lineRule="exact"/>
              <w:rPr>
                <w:sz w:val="20"/>
                <w:szCs w:val="20"/>
                <w:color w:val="auto"/>
              </w:rPr>
            </w:pPr>
            <w:r>
              <w:rPr>
                <w:rFonts w:ascii="Times New Roman" w:cs="Times New Roman" w:eastAsia="Times New Roman" w:hAnsi="Times New Roman"/>
                <w:sz w:val="16"/>
                <w:szCs w:val="16"/>
                <w:color w:val="auto"/>
              </w:rPr>
              <w:t xml:space="preserve">2.34150%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Active</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Active</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paid prior to the May 9, 2023 amendment was 2.3820%.</w:t>
      </w:r>
    </w:p>
    <w:p>
      <w:pPr>
        <w:spacing w:after="0" w:line="244"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interest rate swap agreement, excluding the portion treated as debt, is recognized at fair value in the Condensed Consolidated Balance Sheets and is valued using pricing models that rely on market observable inputs such as yield curve data, which are classified as Level 2 inputs within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Derivatives on the Condensed Consolidated Balance Sheets</w:t>
      </w:r>
    </w:p>
    <w:p>
      <w:pPr>
        <w:spacing w:after="0" w:line="25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our derivatives and their location on the Condensed Consolidated Balance Sheets as of December 31, 2024 and June 30, 2025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20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46"/>
        </w:trPr>
        <w:tc>
          <w:tcPr>
            <w:tcW w:w="24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6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6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Other current liabilities </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6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Other non-current liabilities </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entire balance is comprised of the financing component of the pay-fixed interest rate swap.</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For financial statement presentation purposes, we do not offset assets and liabilities under master netting arrangements and all amounts above are presented on a gross basis. The following table, however, is presented on a net asset and net liability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4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Effects of</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Net Amounts</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Amounts on</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Counterparty</w:t>
            </w:r>
          </w:p>
        </w:tc>
        <w:tc>
          <w:tcPr>
            <w:tcW w:w="100" w:type="dxa"/>
            <w:vAlign w:val="bottom"/>
          </w:tcPr>
          <w:p>
            <w:pPr>
              <w:spacing w:after="0"/>
              <w:rPr>
                <w:sz w:val="14"/>
                <w:szCs w:val="14"/>
                <w:color w:val="auto"/>
              </w:rPr>
            </w:pPr>
          </w:p>
        </w:tc>
        <w:tc>
          <w:tcPr>
            <w:tcW w:w="10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Amounts</w:t>
            </w: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180" w:type="dxa"/>
            <w:vAlign w:val="bottom"/>
            <w:gridSpan w:val="3"/>
            <w:vMerge w:val="continue"/>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Derivatives on the Condensed Consolidated Statements of Comprehensive Income (Loss)</w:t>
      </w:r>
    </w:p>
    <w:p>
      <w:pPr>
        <w:spacing w:after="0" w:line="256"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effect of our derivatives and their location on the Condensed Consolidated Statements of Comprehensive Income (Loss) for the three and six months ended June 30, 2024 and 2025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8"/>
                <w:szCs w:val="18"/>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46"/>
        </w:trPr>
        <w:tc>
          <w:tcPr>
            <w:tcW w:w="268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Derivatives designated as hedging</w:t>
            </w:r>
          </w:p>
        </w:tc>
        <w:tc>
          <w:tcPr>
            <w:tcW w:w="24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income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Interest expense was $18.4 million and $21.3 million for the three months ended June 30, 2024 and 2025, respectively, and $62.1 million and $40.7 million for the six months ended June 30, 2024 and 2025, respectively. As of June 30, 2025, the amount of cash flow hedge gain included within "Accumulated other comprehensive income" that is expected to be reclassified as a reduction to "Interest expense" over the next 12 months is approximately $25.3 million. See Note 12, "Accumulated Other Comprehensive Income," for information regarding changes in fair value of our derivatives designated as hedging instruments.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25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have agreements with interest rate swap counterparties that contain a provision whereby if we default on any of our material indebtedness, then we could also be declared in default of our interest rate swap agreements. As of June 30, 2025, our outstanding interest rate swap agreement was in a net asset position.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$1.6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$3.8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$14.9 million related to the cash flow hedge gain for the three months ended June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benefit of $0.1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$6.1</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$7.6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$29.8 million related to the cash flow hedge gain for the six months ended June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$1.1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$0.6</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$2.7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reduction to interest expense recognized of $11.4 million related to the cash flow hedge gain for the three months ended June 30, 2025.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Foreign</w:t>
            </w:r>
          </w:p>
        </w:tc>
        <w:tc>
          <w:tcPr>
            <w:tcW w:w="200" w:type="dxa"/>
            <w:vAlign w:val="bottom"/>
          </w:tcPr>
          <w:p>
            <w:pPr>
              <w:spacing w:after="0"/>
              <w:rPr>
                <w:sz w:val="16"/>
                <w:szCs w:val="16"/>
                <w:color w:val="auto"/>
              </w:rPr>
            </w:pPr>
          </w:p>
        </w:tc>
        <w:tc>
          <w:tcPr>
            <w:tcW w:w="2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 Gain on</w:t>
            </w:r>
          </w:p>
        </w:tc>
        <w:tc>
          <w:tcPr>
            <w:tcW w:w="180" w:type="dxa"/>
            <w:vAlign w:val="bottom"/>
          </w:tcPr>
          <w:p>
            <w:pPr>
              <w:spacing w:after="0"/>
              <w:rPr>
                <w:sz w:val="16"/>
                <w:szCs w:val="16"/>
                <w:color w:val="auto"/>
              </w:rPr>
            </w:pPr>
          </w:p>
        </w:tc>
        <w:tc>
          <w:tcPr>
            <w:tcW w:w="19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Currency Translation</w:t>
            </w:r>
          </w:p>
        </w:tc>
        <w:tc>
          <w:tcPr>
            <w:tcW w:w="2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Derivative Contracts</w:t>
            </w:r>
          </w:p>
        </w:tc>
        <w:tc>
          <w:tcPr>
            <w:tcW w:w="180" w:type="dxa"/>
            <w:vAlign w:val="bottom"/>
          </w:tcPr>
          <w:p>
            <w:pPr>
              <w:spacing w:after="0"/>
              <w:rPr>
                <w:sz w:val="18"/>
                <w:szCs w:val="18"/>
                <w:color w:val="auto"/>
              </w:rPr>
            </w:pPr>
          </w:p>
        </w:tc>
        <w:tc>
          <w:tcPr>
            <w:tcW w:w="1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 net of tax expense of $1.7</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derivative contracts, net of tax expense of $0.5</w:t>
            </w: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62"/>
        </w:trPr>
        <w:tc>
          <w:tcPr>
            <w:tcW w:w="46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Amount reclassified from Accumulated comprehensive income</w:t>
            </w:r>
          </w:p>
        </w:tc>
        <w:tc>
          <w:tcPr>
            <w:tcW w:w="200" w:type="dxa"/>
            <w:vAlign w:val="bottom"/>
          </w:tcPr>
          <w:p>
            <w:pPr>
              <w:spacing w:after="0"/>
              <w:rPr>
                <w:sz w:val="14"/>
                <w:szCs w:val="14"/>
                <w:color w:val="auto"/>
              </w:rPr>
            </w:pPr>
          </w:p>
        </w:tc>
        <w:tc>
          <w:tcPr>
            <w:tcW w:w="2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(loss) into earnings, net of tax expense of $5.6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Includes a reduction to interest expense recognized of $22.8 million related to the cash flow hedge gain for the six months ended June 30,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w:t>
      </w:r>
    </w:p>
    <w:p>
      <w:pPr>
        <w:spacing w:after="0" w:line="21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This two-business unit operating model allows for each segment to be managed separately based on the different service offerings and respective operational and marketing strategies, ensuring increased focus, delivery, and service quality for our customers.</w:t>
      </w:r>
    </w:p>
    <w:p>
      <w:pPr>
        <w:spacing w:after="0" w:line="18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w:t>
      </w:r>
    </w:p>
    <w:p>
      <w:pPr>
        <w:spacing w:after="0" w:line="21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Beginning in the fourth quarter of 2024, we updated the presentation of our segment operating profit to no longer exclude certain cash compensation paid to employees who remain employed with Rackspace which were previously included in the “special bonuses and other compensation expenses” and “restructuring and transformation expenses” line items of our reconciliation below. Additionally, we removed the “special bonuses and other compensation expenses” line item and the remaining adjustments are now presented within the “restructuring and transformation expenses” line item. The prior period has been recast to reflect current period presentation.</w:t>
      </w:r>
    </w:p>
    <w:p>
      <w:pPr>
        <w:spacing w:after="0" w:line="210"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this presentation change, we also updated segment operating profit included in the financial information provided to our CODM. Certain cash compensation paid to employees who remain employed with Rackspace is now included in the Public Cloud and Private Cloud segment operating profit performance measure.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revenue and segment operating profit by reportable segment and a reconciliation of consolidated segment operating profit to consolidated loss before income taxes for the three and six months ended June 30, 2024 and 2025.</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Public Cloud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Third party infrastructure </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cost of revenue </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(3)</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53"/>
        </w:trPr>
        <w:tc>
          <w:tcPr>
            <w:tcW w:w="4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Private Cloud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7"/>
        </w:trPr>
        <w:tc>
          <w:tcPr>
            <w:tcW w:w="4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53"/>
        </w:trPr>
        <w:tc>
          <w:tcPr>
            <w:tcW w:w="4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Total Consolidated</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0" w:type="dxa"/>
            <w:vAlign w:val="bottom"/>
          </w:tcPr>
          <w:p>
            <w:pPr>
              <w:spacing w:after="0"/>
              <w:rPr>
                <w:sz w:val="1"/>
                <w:szCs w:val="1"/>
                <w:color w:val="auto"/>
              </w:rPr>
            </w:pPr>
          </w:p>
        </w:tc>
      </w:tr>
      <w:tr>
        <w:trPr>
          <w:trHeight w:val="213"/>
        </w:trPr>
        <w:tc>
          <w:tcPr>
            <w:tcW w:w="4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Segment operating profit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73"/>
        </w:trPr>
        <w:tc>
          <w:tcPr>
            <w:tcW w:w="4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Corporate functions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6"/>
        </w:trPr>
        <w:tc>
          <w:tcPr>
            <w:tcW w:w="458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6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(5)</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458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3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(6)</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goodwill</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on investments, net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2"/>
        </w:trPr>
        <w:tc>
          <w:tcPr>
            <w:tcW w:w="4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consolidated loss before income taxes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usage charges from public cloud infrastructure providers.</w:t>
      </w:r>
    </w:p>
    <w:p>
      <w:pPr>
        <w:spacing w:after="0" w:line="59"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 of revenue excludes third party infrastructure expenses and is comprised of certain license costs, labor, and other designated expenses.</w:t>
      </w:r>
    </w:p>
    <w:p>
      <w:pPr>
        <w:spacing w:after="0" w:line="59" w:lineRule="exact"/>
        <w:rPr>
          <w:rFonts w:ascii="Times New Roman" w:cs="Times New Roman" w:eastAsia="Times New Roman" w:hAnsi="Times New Roman"/>
          <w:sz w:val="16"/>
          <w:szCs w:val="16"/>
          <w:color w:val="auto"/>
        </w:rPr>
      </w:pPr>
    </w:p>
    <w:p>
      <w:pPr>
        <w:ind w:left="480" w:right="300" w:hanging="344"/>
        <w:spacing w:after="0" w:line="280"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for each segment include directly allocable research and development expenses, sales and marketing expenses, and certain other general and administrative expenses.</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accounting adjustments, exploratory acquisition and divestiture costs, and expenses related to financing activities.</w:t>
      </w:r>
    </w:p>
    <w:p>
      <w:pPr>
        <w:spacing w:after="0" w:line="59" w:lineRule="exact"/>
        <w:rPr>
          <w:rFonts w:ascii="Times New Roman" w:cs="Times New Roman" w:eastAsia="Times New Roman" w:hAnsi="Times New Roman"/>
          <w:sz w:val="16"/>
          <w:szCs w:val="16"/>
          <w:color w:val="auto"/>
        </w:rPr>
      </w:pPr>
    </w:p>
    <w:p>
      <w:pPr>
        <w:ind w:left="480" w:right="40" w:hanging="344"/>
        <w:spacing w:after="0" w:line="263" w:lineRule="auto"/>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six months ended June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72"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depreciation expense included in segment operating profit above for the three and six months ended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80" w:type="dxa"/>
            <w:vAlign w:val="bottom"/>
            <w:tcBorders>
              <w:bottom w:val="single" w:sz="8" w:color="auto"/>
            </w:tcBorders>
          </w:tcPr>
          <w:p>
            <w:pPr>
              <w:spacing w:after="0"/>
              <w:rPr>
                <w:sz w:val="18"/>
                <w:szCs w:val="18"/>
                <w:color w:val="auto"/>
              </w:rPr>
            </w:pPr>
          </w:p>
        </w:tc>
      </w:tr>
      <w:tr>
        <w:trPr>
          <w:trHeight w:val="211"/>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r>
      <w:tr>
        <w:trPr>
          <w:trHeight w:val="21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r>
      <w:tr>
        <w:trPr>
          <w:trHeight w:val="21"/>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Management does not use total assets by segment to evaluate segment performance or allocate resources. As such, total assets by segment are not disclosed.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Rackspace Technology,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Rackspace Technology, Inc. and its consolidated subsidiaries.</w:t>
      </w:r>
    </w:p>
    <w:p>
      <w:pPr>
        <w:spacing w:after="0" w:line="210"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contains forward-looking statements that are subject to risks and uncertainties. Actual results may differ materially from those contained in any forward-looking statements.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contained elsewhere in this Quarterly Report.</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 are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w:t>
      </w:r>
    </w:p>
    <w:p>
      <w:pPr>
        <w:spacing w:after="0" w:line="203"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operate our business and report our results through two reportable segments: Public Cloud and Private Cloud. Our Public Cloud segment is a services-centric, capital-light model providing value-added cloud solutions through managed services, Elastic Engineering and professional services offerings for customer environments hosted on the AWS, Microsoft Azure and Google Cloud public cloud platforms. Our Private Cloud segment is a technology-forward, capital-intensive model providing managed service offerings for customer environments hosted in one of our data centers as well as in those owned by customers or by third parties such as colocation providers. Private Cloud also includes our legacy OpenStack Public Cloud business that we ceased to actively market to customers in 2017. See Item 1 of Part I, Financial Statements - Note 13, "Segment Reporting," for additional information about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Our continued success depends to a significant extent on our ability to respond to these and other challenges presented by our highly competitive and dynamic market, including the following key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Differentiating Our Service Offerings in a Competitive Market Environment</w:t>
      </w:r>
    </w:p>
    <w:p>
      <w:pPr>
        <w:spacing w:after="0" w:line="25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 new recurring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 and Retention</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Mix Shift</w:t>
      </w:r>
    </w:p>
    <w:p>
      <w:pPr>
        <w:spacing w:after="0" w:line="25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Components of Statement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4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and legacy OpenStack business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25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w:t>
      </w:r>
    </w:p>
    <w:p>
      <w:pPr>
        <w:spacing w:after="0" w:line="21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SG&amp;A also includes transaction costs related to acquisitions and financings along with costs related to integration and business transformation initiatives which may impact the comparability of SG&amp;A between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income tax benefit (provision) and deferred tax assets and liabilities reflect management's best assessment of estimated current and future taxes to be paid. To date, we have recorded consolidated tax benefits, reflecting our net losses, though certain of our non-U.S. subsidiaries have incurred corporate tax expense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discuss our historical results of operations, and the key components of those results, below. Past financial results are not necessarily indicative of future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2025</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Gain on debt extinguishment, net of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modification costs</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Revenue decreased $19 million, or 2.7%, to $666 million in the three months ended June 30, 2025 from $685 million in the three months ended June 30, 2024. Revenue declined due to decreases in both Private Cloud and Public Cloud revenue, as discussed below.</w:t>
      </w:r>
    </w:p>
    <w:p>
      <w:pPr>
        <w:spacing w:after="0" w:line="203"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of foreign currency fluctuations, on a constant currency basis, revenue decreased 3.2% year-over-year. The following table presents revenue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350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4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0" w:type="dxa"/>
            <w:vAlign w:val="bottom"/>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4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3"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Public Cloud revenue in the three months ended June 30, 2025 decreased 2.0% on an actual basis and 2.2% on a constant currency basis, from the three months ended June 30, 2024. The decline was due to lower infrastructure volumes, as services revenue remained relatively flat.</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Private Cloud revenue in the three months ended June 30, 2025 decreased 4.0% on an actual basis and 4.8% on a constant currency basis, from the three months ended June 30, 2024, due to customers rolling off legacy private cloud offerings.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decreased $16 million, or 3%, to $537 million in the three months ended June 30, 2025 from $554 million in the three months ended June 30, 2024. The largest driver of the decrease was a reduction in usage charges for third-party infrastructure, consistent with the decrease in revenue. Also contributing to the overall reduction in cost of revenue was a decline in personnel costs, driven by a decrease in headcount between periods and a reduction in severance expense, and data center expense as a result of continued optimization initiatives.</w:t>
      </w:r>
    </w:p>
    <w:p>
      <w:pPr>
        <w:spacing w:after="0" w:line="207"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cost of revenue declined 20 basis points in the three months ended June 30, 2025 to 80.6% from 80.8% in the three months ended June 30,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gross profit was $129 million in the three months ended June 30, 2025, a decrease of $2 million from $131 million in the three months ended June 30, 2024. Our gross margin was 19.4% in the three months ended June 30, 2025, an increase of 20 basis points from 19.2% in the three months ended June 30,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$31 million, or 17%, to $154 million in the three months ended June 30, 2025 from $185 million in the three months ended June 30, 2024. Declining personnel costs had the largest impact due to a reduction in headcount between periods and decreases in share-based compensation, non-equity incentive compensation and severance expense.</w:t>
      </w:r>
    </w:p>
    <w:p>
      <w:pPr>
        <w:spacing w:after="0" w:line="203"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380 basis points, to 23.2% in the three months ended June 30, 2025 from 27.0% in the three months ended June 30, 2024 due to personnel costs, as discussed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Our loss from operations was $25 million in the three months ended June 30, 2025 compared to $54 million in the three months ended June 30, 2024. Our Non-GAAP Operating Profit was $27 million in the three months ended June 30, 2025, an increase of $7 million from $20 million in the three months ended June 30, 2024. Non-GAAP Operating Profit is a non-GAAP financial measure. See "Non-GAAP Financial Measures" below for more information.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390"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(c)</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34"/>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80" w:hanging="339"/>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accounting adjustments, exploratory acquisition and divestiture costs, and expenses related to financing activities.</w:t>
      </w:r>
    </w:p>
    <w:p>
      <w:pPr>
        <w:spacing w:after="0" w:line="59" w:lineRule="exact"/>
        <w:rPr>
          <w:rFonts w:ascii="Times New Roman" w:cs="Times New Roman" w:eastAsia="Times New Roman" w:hAnsi="Times New Roman"/>
          <w:sz w:val="16"/>
          <w:szCs w:val="16"/>
          <w:color w:val="auto"/>
        </w:rPr>
      </w:pPr>
    </w:p>
    <w:p>
      <w:pPr>
        <w:ind w:left="480" w:right="40" w:hanging="344"/>
        <w:spacing w:after="0" w:line="280" w:lineRule="auto"/>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w:t>
      </w:r>
    </w:p>
    <w:p>
      <w:pPr>
        <w:spacing w:after="0" w:line="2"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10.7</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16.2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5.5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68.8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61.5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7"/>
              </w:rPr>
              <w:t>(7.3)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8"/>
              </w:rPr>
              <w:t>(50.4)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20.3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9"/>
              </w:rPr>
              <w:t>27.3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w w:val="99"/>
              </w:rPr>
              <w:t>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34.5 %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Public Cloud operating profit increased 51% in the three months ended June 30, 2025 from the three months ended June 30, 2024. Segment operating profit as a percentage of segment revenue increased by 140 basis points, reflecting a 3% decrease in segment operating expenses, partially offset by a 2% decrease in segment revenue. The decrease in expenses was mainly driven by operational improvements and cost optimization initiatives executed during 2024.</w:t>
      </w:r>
    </w:p>
    <w:p>
      <w:pPr>
        <w:spacing w:after="0" w:line="207" w:lineRule="exact"/>
        <w:rPr>
          <w:sz w:val="20"/>
          <w:szCs w:val="20"/>
          <w:color w:val="auto"/>
        </w:rPr>
      </w:pPr>
    </w:p>
    <w:p>
      <w:pPr>
        <w:jc w:val="both"/>
        <w:ind w:right="540" w:firstLine="486"/>
        <w:spacing w:after="0" w:line="266" w:lineRule="auto"/>
        <w:rPr>
          <w:sz w:val="20"/>
          <w:szCs w:val="20"/>
          <w:color w:val="auto"/>
        </w:rPr>
      </w:pPr>
      <w:r>
        <w:rPr>
          <w:rFonts w:ascii="Times New Roman" w:cs="Times New Roman" w:eastAsia="Times New Roman" w:hAnsi="Times New Roman"/>
          <w:sz w:val="18"/>
          <w:szCs w:val="18"/>
          <w:color w:val="auto"/>
        </w:rPr>
        <w:t>Private Cloud operating profit decreased 11% in the three months ended June 30, 2025 from the three months ended June 30, 2024. Segment operating profit as a percentage of segment revenue decreased by 190 basis points due to a 4% decrease in segment revenue, partially offset by a 2% decrease in segment operating expenses. The decrease in expenses was mainly driven by cost optimization activities executed throughout 2024.</w:t>
      </w:r>
    </w:p>
    <w:p>
      <w:pPr>
        <w:spacing w:after="0" w:line="203"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15% in the three months ended June 30, 2025 from the three months ended June 30, 2024 due to our continued focus on cost management.</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Interest expense increased $3 million, or 16%, to $21 million in the three months ended June 30, 2025 from $18 million in the three months ended June 30, 2024. This increase was due to borrowings on the New Revolving Credit Facility in 2025 and a reduction in interest income from money market funds due to a lower cash balance between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Debt Extinguishment, Net of Debt Modification Costs</w:t>
      </w:r>
    </w:p>
    <w:p>
      <w:pPr>
        <w:spacing w:after="0" w:line="2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recorded a $73 million gain on debt extinguishment, net of debt modification costs in the three months ended June 30, 2024, which included a $49 million gain on debt extinguishment related to repurchases of an aggregate $68 million principal amount of 3.50% FLSO Senior Secured Notes, FLSO Term Loan Facility, and 5.375% Senior Notes during the period. The remaining amount is related to the closing of the Public Note Exchange in April 2024, which was initiated as part of the March 2024 Refinancing Transactions.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We had $4 million and $5 million of other expense in the three months ended June 30, 2025 and 2024, respectively. This line item is primarily comprised of expense related to our accounts receivable purchase agreement.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3, "Sale of Receivables."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5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income tax expense was $5 million in the three months ended June 30, 2025 compared to a $30 million income tax benefit in the three months ended June 30, 2024. Our effective tax rate decreased to (9.3)% in the three months ended June 30, 2025 from 612.6% in the three months ended June 30, 2024. The decrease in the effective tax rate year-over-year is primarily due to the tax impact associated with changes in valuation allowance, the net impact of the geographic distribution of our earnings, the incremental tax impact associated with goodwill impairments recorded in the first quarter of 2024, the majority of which were nondeductible for income tax purposes, and the tax impact of the March 2024 Refinancing Transactions. The difference between the effective tax rate and the statutory rate for the three months ended June 30, 2025 is primarily due to the tax impact associated with changes in valuation allowance, executive compensation that is non-deductible under Internal Revenue Code (“IRC”) Section 162(m), and the net impact of the geographic distribution of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2025</w:t>
      </w:r>
    </w:p>
    <w:p>
      <w:pPr>
        <w:spacing w:after="0" w:line="25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specified periods, as well as changes between periods and as a percentage of revenue for those same periods (totals in table may not foot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Year-Over-Year Comparison</w:t>
            </w: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3"/>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3"/>
        </w:trPr>
        <w:tc>
          <w:tcPr>
            <w:tcW w:w="3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Gain on debt extinguishment, net of debt</w:t>
            </w: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modification costs</w:t>
            </w: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3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Revenue decreased $44 million, or 3.2%, to $1,332 million in the six months ended June 30, 2025 from $1,376 million in the six months ended June 30, 2024. Revenue declined due to decreases in both Private Cloud and Public Cloud revenue, as discussed below.</w:t>
      </w:r>
    </w:p>
    <w:p>
      <w:pPr>
        <w:spacing w:after="0" w:line="18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After removing the impact from foreign currency fluctuations, on a constant currency basis, revenue decreased 3.3% year-over-year. The following table presents revenue by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8"/>
                <w:szCs w:val="18"/>
                <w:color w:val="auto"/>
              </w:rPr>
            </w:pPr>
          </w:p>
        </w:tc>
        <w:tc>
          <w:tcPr>
            <w:tcW w:w="3480" w:type="dxa"/>
            <w:vAlign w:val="bottom"/>
            <w:tcBorders>
              <w:bottom w:val="single" w:sz="8" w:color="auto"/>
            </w:tcBorders>
            <w:gridSpan w:val="3"/>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3"/>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7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700" w:type="dxa"/>
            <w:vAlign w:val="bottom"/>
          </w:tcPr>
          <w:p>
            <w:pPr>
              <w:jc w:val="right"/>
              <w:ind w:right="1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Constant Currency </w:t>
            </w:r>
            <w:r>
              <w:rPr>
                <w:rFonts w:ascii="Times New Roman" w:cs="Times New Roman" w:eastAsia="Times New Roman" w:hAnsi="Times New Roman"/>
                <w:sz w:val="21"/>
                <w:szCs w:val="21"/>
                <w:b w:val="1"/>
                <w:bCs w:val="1"/>
                <w:color w:val="auto"/>
                <w:vertAlign w:val="superscript"/>
              </w:rPr>
              <w:t>(a)</w:t>
            </w: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4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in this section for further explanation and reconciliation.</w:t>
      </w:r>
    </w:p>
    <w:p>
      <w:pPr>
        <w:spacing w:after="0" w:line="24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Public Cloud revenue in the six months ended June 30, 2025 decreased 1.8% on an actual basis and 1.7% on a constant currency basis, from the six months ended June 30, 2024. The decline was mainly due to lower infrastructure volumes and a reduction in services revenue.</w:t>
      </w:r>
    </w:p>
    <w:p>
      <w:pPr>
        <w:spacing w:after="0" w:line="18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Private Cloud revenue in the six months ended June 30, 2025 decreased 5.5% on an actual basis and 5.7% on a constant currency basis, from the six months ended June 30, 2024, due to customers rolling off legacy private cloud offerings.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5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Cost of revenue decreased $36 million, or 3%, to $1,076 million in the six months ended June 30, 2025 from $1,112 million in the six months ended June 30, 2024. The largest driver of the decrease was a reduction in usage charges for third-party infrastructure, consistent with the decrease in revenue. Also contributing to the overall decrease in cost of revenue was a reduction in license expense, due to decreased usage between periods, and a reduction in data center expense as a result of continued optimization initiatives. Personnel costs declined, to a lesser extent, driven by a decrease in headcount between periods.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percentage of revenue, cost of revenue was 80.8% in both the six months ended June 30, 2024 and June 30,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54"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Our gross profit was $256 million in the six months ended June 30, 2025, a decrease of $8 million from $264 million in the six months ended June 30, 2024. Our gross margin was 19.2% in both the six months ended June 30, 2024 and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$58 million, or 15%, to $320 million in the six months ended June 30, 2025 from $378 million in the six months ended June 30, 2024, primarily due to a reduction in personnel costs. The decrease in personnel costs was largely due to a decline in headcount between periods and a reduction in share-based compensation and non-equity incentive compensation. Also driving the overall decrease in selling, general and administrative expenses was a $9 million early termination fee associated with the sale of our corporate headquarters in the first quarter of 2024.</w:t>
      </w:r>
    </w:p>
    <w:p>
      <w:pPr>
        <w:spacing w:after="0" w:line="21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revenue, selling, general and administrative expenses decreased 350 basis points, to 24.0% in the six months ended June 30, 2025 from 27.5% in the six months ended June 30, 2024 for the reasons discussed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 Segment Operating Profit, and Non-GAAP Operating Profit</w:t>
      </w:r>
    </w:p>
    <w:p>
      <w:pPr>
        <w:spacing w:after="0" w:line="2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loss from operations was $64 million in the six months ended June 30, 2025 compared to $707 million in the six months ended June 30, 2024. Our Non-GAAP Operating Profit was $53 million in the six months ended June 30, 2025, an increase of $19 million from $34 million in the six months ended June 30, 2024. Non-GAAP Operating Profit is a non-GAAP financial measure. See "Non-GAAP Financial Measures" below for more information.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loss from operations to Non-GAAP Operating Profit.</w:t>
      </w:r>
    </w:p>
    <w:p>
      <w:pPr>
        <w:spacing w:after="0" w:line="29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9"/>
        </w:trPr>
        <w:tc>
          <w:tcPr>
            <w:tcW w:w="7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7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Hosted Exchange incident expenses, net of proceeds received or expected to be received under our insurance coverage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4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(c)</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35"/>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Operating Profit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80" w:hanging="339"/>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accounting adjustments, exploratory acquisition and divestiture costs, and expenses related to financing activities.</w:t>
      </w:r>
    </w:p>
    <w:p>
      <w:pPr>
        <w:spacing w:after="0" w:line="59" w:lineRule="exact"/>
        <w:rPr>
          <w:rFonts w:ascii="Times New Roman" w:cs="Times New Roman" w:eastAsia="Times New Roman" w:hAnsi="Times New Roman"/>
          <w:sz w:val="16"/>
          <w:szCs w:val="16"/>
          <w:color w:val="auto"/>
        </w:rPr>
      </w:pPr>
    </w:p>
    <w:p>
      <w:pPr>
        <w:ind w:left="480" w:right="40" w:hanging="344"/>
        <w:spacing w:after="0" w:line="254" w:lineRule="auto"/>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six months ended June 30, 2024 also includes a $9.0 million MEIA early termination fee associated with the sale of our corporate headquarters in March 2024.</w:t>
      </w:r>
    </w:p>
    <w:p>
      <w:pPr>
        <w:spacing w:after="0" w:line="23"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segment operating profit and segment operating margin for the periods indicated, and the change between periods is shown in the table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Year-Over-Year Comparison</w:t>
            </w:r>
          </w:p>
        </w:tc>
        <w:tc>
          <w:tcPr>
            <w:tcW w:w="0" w:type="dxa"/>
            <w:vAlign w:val="bottom"/>
          </w:tcPr>
          <w:p>
            <w:pPr>
              <w:spacing w:after="0"/>
              <w:rPr>
                <w:sz w:val="1"/>
                <w:szCs w:val="1"/>
                <w:color w:val="auto"/>
              </w:rPr>
            </w:pPr>
          </w:p>
        </w:tc>
      </w:tr>
      <w:tr>
        <w:trPr>
          <w:trHeight w:val="15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Segment operating profit:</w:t>
            </w:r>
          </w:p>
        </w:tc>
        <w:tc>
          <w:tcPr>
            <w:tcW w:w="18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 of Segment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Segment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3"/>
                <w:szCs w:val="1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14.6</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77.2 %</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8"/>
              </w:rPr>
              <w:t>(17.4)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functions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21.4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Operating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color w:val="auto"/>
                <w:w w:val="99"/>
              </w:rPr>
              <w:t>18.6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180" w:firstLine="486"/>
        <w:spacing w:after="0" w:line="261" w:lineRule="auto"/>
        <w:rPr>
          <w:sz w:val="20"/>
          <w:szCs w:val="20"/>
          <w:color w:val="auto"/>
        </w:rPr>
      </w:pPr>
      <w:r>
        <w:rPr>
          <w:rFonts w:ascii="Times New Roman" w:cs="Times New Roman" w:eastAsia="Times New Roman" w:hAnsi="Times New Roman"/>
          <w:sz w:val="18"/>
          <w:szCs w:val="18"/>
          <w:color w:val="auto"/>
        </w:rPr>
        <w:t>Public Cloud operating profit increased 77% in the six months ended June 30, 2025 from the six months ended June 30, 2024. Segment operating profit as a percentage of segment revenue increased by 180 basis points, reflecting a 4% decrease in segment operating expenses, partially offset by a 2% decrease in segment revenue. The decrease in expenses was mainly driven by operational improvements and cost optimization initiatives executed during 2024.</w:t>
      </w:r>
    </w:p>
    <w:p>
      <w:pPr>
        <w:spacing w:after="0" w:line="207"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Private Cloud operating profit decreased 12% in the six months ended June 30, 2025 from the six months ended June 30, 2024. Segment operating profit as a percentage of segment revenue decreased by 200 basis points, due to a 6% decrease in segment revenue, partially offset by a 3% decrease in segment operating expenses. The decrease in expenses was mainly driven by cost optimization activities executed throughout 2024.</w:t>
      </w:r>
    </w:p>
    <w:p>
      <w:pPr>
        <w:spacing w:after="0" w:line="203"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17% in the six months ended June 30, 2025 from the six months ended June 30, 2024 due to our continued focus on cost management.</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about our segment operating profit, see Item 1 of Part I, Financial Statements - Note 13,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March 2024 Refinancing Transactions that were completed in March and April 2024, as further described in Item 1 of Part I,</w:t>
      </w:r>
    </w:p>
    <w:p>
      <w:pPr>
        <w:spacing w:after="0" w:line="5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Financial Statements - Note 7, "Debt", we updated our internal forecasts. As of February 29, 2024, we assessed our Board of Directors approved 2024 internal budget along with several events and circumstances that could affect the significant inputs used to determine the fair value of our reporting units, including the significance of the amount, if any, of excess carrying value over fair value, consistency of our current and forecasted operating margins and cash flows, budgeted-to-actual performance, timing of the expected effects of our strategic initiatives, overall change in economic climate, changes in the industry and competitive environment, changes to our risk-adjusted discount rates and earnings quality and sustainability. After considering all available evidence in our evaluation of goodwill impairment indicators, we determined it appropriate to perform an interim quantitative assessment of our reporting units as of February 29, 2024. The results of this goodwill impairment analysis indicated an impairment of goodwill within our Public Cloud and Private Cloud reporting units of $385 million and $188 million, respectively, recorded in the six months ended June 30, 2024.</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such impairment in the six months ended June 30,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 Net</w:t>
      </w:r>
    </w:p>
    <w:p>
      <w:pPr>
        <w:spacing w:after="0" w:line="2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evaluated our indefinite-lived intangible asset for impairment as of February 29, 2024. As a result of this evaluation, we recorded a $20 million impairment of our indefinite-lived intangible asset in the six months ended June 30, 2024.</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such impairment in the six months ended June 30,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Interest expense decreased $21 million, or 34%, to $41 million in the six months ended June 30, 2025 from $62 million in the six months ended June 30, 2024, primarily due to the accounting for contractual interest payments on debt instruments entered into as part of the March 2024 Refinancing Transactions, portions of which are recorded as a reduction of related premiums and not as interest expense, which reduces interest expense relative to contractual interest cost.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Debt Extinguishment, Net of Debt Modification Costs</w:t>
      </w:r>
    </w:p>
    <w:p>
      <w:pPr>
        <w:spacing w:after="0" w:line="254"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We recorded an $80 million gain on debt extinguishment, net of debt modification costs in the six months ended June 30, 2024 related to the March 2024 Refinancing Transactions. In addition, we recorded a $49 million total gain on debt extinguishment related to repurchases of an aggregate $68 million principal amount of 3.50% FLSO Senior Secured Notes, FLSO Term Loan Facility, and 5.375% Senior Notes during the six months ended June 30, 2024.</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7,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54"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We had $9 million and $11 million of other expense in the six months ended June 30, 2025 and 2024, respectively. This line item is primarily comprised of expense related to our accounts receivable purchase agreement.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see Item 1 of Part I, Financial Statements - Note 3, "Sale of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(Provision) for Income Taxes</w:t>
      </w:r>
    </w:p>
    <w:p>
      <w:pPr>
        <w:spacing w:after="0" w:line="2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income tax expense was $13 million in the six months ended June 30, 2025 compared to a $35 million income tax benefit in the six months ended June 30, 2024. Our effective tax rate decreased to (11.3)% in the six months ended June 30, 2025 from 5.3% in the six months ended June 30, 2024. The decrease in the effective tax rate year-over-year is primarily due to the tax impact associated with changes in the valuation allowance, geographic distribution of profits, the tax impact associated with goodwill impairments recorded in the first quarter of 2024, the majority of which were nondeductible for income tax purposes, and the income tax benefit related to the March 2024 Refinancing Transactions. The difference between the effective tax rate and the statutory rate for the six months ended June 30, 2025 is primarily due to the tax impact associated with changes in valuation allowance, executive compensation that is non-deductible under IRC Section 162(m), the net impact of the geographic distribution of our earnings, and tax effects from non-deductible share-based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to Non-GAAP Financial Measures</w:t>
      </w:r>
    </w:p>
    <w:p>
      <w:pPr>
        <w:spacing w:after="0" w:line="243"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Beginning in the fourth quarter of 2024, we updated the presentation of our non-GAAP financial measures to no longer exclude certain cash compensation paid to employees who remain employed with Rackspace which were previously included in the “special bonuses and other compensation expenses” and “restructuring and transformation expenses” line items of our reconciliations. Additionally, we removed the “special bonuses and other compensation expenses” line item and the remaining adjustments are now presented within the “restructuring and transformation expenses” line item. All prior period Non-GAAP Gross Profit, Non-GAAP Net Income (Loss), Non-GAAP Operating Profit, Adjusted EBITDA and Non-GAAP Earnings (Loss) Per Share financial measures have been recast to reflect current period presentation.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Revenue</w:t>
      </w:r>
    </w:p>
    <w:p>
      <w:pPr>
        <w:spacing w:after="0" w:line="256"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spacing w:after="0" w:line="21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by segment, actual and constant currency revenue and constant currency revenue growth rates, for and between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4140" w:type="dxa"/>
            <w:vAlign w:val="bottom"/>
            <w:gridSpan w:val="7"/>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00" w:type="dxa"/>
            <w:vAlign w:val="bottom"/>
          </w:tcPr>
          <w:p>
            <w:pPr>
              <w:spacing w:after="0"/>
              <w:rPr>
                <w:sz w:val="16"/>
                <w:szCs w:val="16"/>
                <w:color w:val="auto"/>
              </w:rPr>
            </w:pPr>
          </w:p>
        </w:tc>
        <w:tc>
          <w:tcPr>
            <w:tcW w:w="180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2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00" w:type="dxa"/>
            <w:vAlign w:val="bottom"/>
          </w:tcPr>
          <w:p>
            <w:pPr>
              <w:spacing w:after="0"/>
              <w:rPr>
                <w:sz w:val="13"/>
                <w:szCs w:val="13"/>
                <w:color w:val="auto"/>
              </w:rPr>
            </w:pPr>
          </w:p>
        </w:tc>
        <w:tc>
          <w:tcPr>
            <w:tcW w:w="18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2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Translation </w:t>
            </w:r>
            <w:r>
              <w:rPr>
                <w:rFonts w:ascii="Times New Roman" w:cs="Times New Roman" w:eastAsia="Times New Roman" w:hAnsi="Times New Roman"/>
                <w:sz w:val="21"/>
                <w:szCs w:val="21"/>
                <w:b w:val="1"/>
                <w:bCs w:val="1"/>
                <w:color w:val="auto"/>
                <w:w w:val="95"/>
                <w:vertAlign w:val="superscript"/>
              </w:rPr>
              <w:t>(a)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0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666.3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6"/>
          <w:szCs w:val="16"/>
          <w:color w:val="auto"/>
        </w:rPr>
        <w:t>(a)</w:t>
        <w:tab/>
        <w:t>The effect of foreign currency is calculated by translating current period results using the average exchange rate from the prior comparative period.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Pr>
          <w:p>
            <w:pPr>
              <w:spacing w:after="0"/>
              <w:rPr>
                <w:sz w:val="16"/>
                <w:szCs w:val="16"/>
                <w:color w:val="auto"/>
              </w:rPr>
            </w:pPr>
          </w:p>
        </w:tc>
        <w:tc>
          <w:tcPr>
            <w:tcW w:w="4140" w:type="dxa"/>
            <w:vAlign w:val="bottom"/>
            <w:gridSpan w:val="7"/>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00" w:type="dxa"/>
            <w:vAlign w:val="bottom"/>
          </w:tcPr>
          <w:p>
            <w:pPr>
              <w:spacing w:after="0"/>
              <w:rPr>
                <w:sz w:val="16"/>
                <w:szCs w:val="16"/>
                <w:color w:val="auto"/>
              </w:rPr>
            </w:pPr>
          </w:p>
        </w:tc>
        <w:tc>
          <w:tcPr>
            <w:tcW w:w="180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vMerge w:val="continue"/>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Pr>
          <w:p>
            <w:pPr>
              <w:spacing w:after="0"/>
              <w:rPr>
                <w:sz w:val="13"/>
                <w:szCs w:val="13"/>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0" w:type="dxa"/>
            <w:vAlign w:val="bottom"/>
          </w:tcPr>
          <w:p>
            <w:pPr>
              <w:spacing w:after="0"/>
              <w:rPr>
                <w:sz w:val="13"/>
                <w:szCs w:val="13"/>
                <w:color w:val="auto"/>
              </w:rPr>
            </w:pPr>
          </w:p>
        </w:tc>
        <w:tc>
          <w:tcPr>
            <w:tcW w:w="1200" w:type="dxa"/>
            <w:vAlign w:val="bottom"/>
          </w:tcPr>
          <w:p>
            <w:pPr>
              <w:jc w:val="right"/>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Revenue in</w:t>
            </w:r>
          </w:p>
        </w:tc>
        <w:tc>
          <w:tcPr>
            <w:tcW w:w="100" w:type="dxa"/>
            <w:vAlign w:val="bottom"/>
          </w:tcPr>
          <w:p>
            <w:pPr>
              <w:spacing w:after="0"/>
              <w:rPr>
                <w:sz w:val="13"/>
                <w:szCs w:val="13"/>
                <w:color w:val="auto"/>
              </w:rPr>
            </w:pPr>
          </w:p>
        </w:tc>
        <w:tc>
          <w:tcPr>
            <w:tcW w:w="18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2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Constant</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except %)</w:t>
            </w:r>
          </w:p>
        </w:tc>
        <w:tc>
          <w:tcPr>
            <w:tcW w:w="1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Translation </w:t>
            </w:r>
            <w:r>
              <w:rPr>
                <w:rFonts w:ascii="Times New Roman" w:cs="Times New Roman" w:eastAsia="Times New Roman" w:hAnsi="Times New Roman"/>
                <w:sz w:val="21"/>
                <w:szCs w:val="21"/>
                <w:b w:val="1"/>
                <w:bCs w:val="1"/>
                <w:color w:val="auto"/>
                <w:w w:val="95"/>
                <w:vertAlign w:val="superscript"/>
              </w:rPr>
              <w:t>(a)</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Constant Currency</w:t>
            </w:r>
          </w:p>
        </w:tc>
        <w:tc>
          <w:tcPr>
            <w:tcW w:w="100" w:type="dxa"/>
            <w:vAlign w:val="bottom"/>
          </w:tcPr>
          <w:p>
            <w:pPr>
              <w:spacing w:after="0"/>
              <w:rPr>
                <w:sz w:val="18"/>
                <w:szCs w:val="18"/>
                <w:color w:val="auto"/>
              </w:rPr>
            </w:pPr>
          </w:p>
        </w:tc>
        <w:tc>
          <w:tcPr>
            <w:tcW w:w="1800" w:type="dxa"/>
            <w:vAlign w:val="bottom"/>
            <w:gridSpan w:val="3"/>
            <w:vMerge w:val="continue"/>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Cloud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 Cloud</w:t>
            </w: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6"/>
                <w:szCs w:val="16"/>
                <w:color w:val="auto"/>
                <w:w w:val="97"/>
              </w:rPr>
              <w:t>(1.4)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hanging="339"/>
        <w:spacing w:after="0"/>
        <w:tabs>
          <w:tab w:leader="none" w:pos="4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foreign currency is calculated by translating current period results using the average exchange rate from the prior comparative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89"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w:t>
      </w:r>
    </w:p>
    <w:p>
      <w:pPr>
        <w:spacing w:after="0" w:line="25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 reconciliation of gross profit to Non-GAAP Gross Profit: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Purchase accounting impact on expense </w:t>
            </w:r>
            <w:r>
              <w:rPr>
                <w:rFonts w:ascii="Times New Roman" w:cs="Times New Roman" w:eastAsia="Times New Roman" w:hAnsi="Times New Roman"/>
                <w:sz w:val="21"/>
                <w:szCs w:val="21"/>
                <w:color w:val="auto"/>
                <w:vertAlign w:val="superscript"/>
              </w:rPr>
              <w: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4"/>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Gross Profit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80" w:hanging="454"/>
        <w:spacing w:after="0"/>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purchase accounting from the Rackspace Acquisition on expenses.</w:t>
      </w:r>
    </w:p>
    <w:p>
      <w:pPr>
        <w:spacing w:after="0" w:line="59" w:lineRule="exact"/>
        <w:rPr>
          <w:rFonts w:ascii="Times New Roman" w:cs="Times New Roman" w:eastAsia="Times New Roman" w:hAnsi="Times New Roman"/>
          <w:sz w:val="16"/>
          <w:szCs w:val="16"/>
          <w:color w:val="auto"/>
        </w:rPr>
      </w:pPr>
    </w:p>
    <w:p>
      <w:pPr>
        <w:ind w:left="480" w:right="120" w:hanging="454"/>
        <w:spacing w:after="0" w:line="245" w:lineRule="auto"/>
        <w:tabs>
          <w:tab w:leader="none" w:pos="4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(Loss), Non-GAAP Operating Profit and Adjusted EBITDA</w:t>
      </w:r>
    </w:p>
    <w:p>
      <w:pPr>
        <w:spacing w:after="0" w:line="25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spacing w:after="0" w:line="20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debt to partially finance the Rackspace Acquisition resulted in interest payments that reflect our high leverage and cost of debt capital, and the conversion of Rackspace Technology Global’s unvested equity compensation into a cash-settled bonus plan and obligation to pay management fees to our equity 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spacing w:after="0" w:line="21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Net Income (Loss) as net income (loss)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the interest expense impact from the March 2024 Refinancing Transactions, and certain other non-operating, non-recurring or non-core gains and losses, as well as the tax effects of these non-GAAP adjustments.</w:t>
      </w:r>
    </w:p>
    <w:p>
      <w:pPr>
        <w:spacing w:after="0" w:line="207"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define Non-GAAP Operating Profit as income (loss) from operations adjusted to exclude the impact of non-cash charges for share-based compensation, transaction-related costs and adjustments, restructuring and transformation charges, costs related to the Hosted Exchange incident, the amortization of acquired intangible assets, goodwill and asset impairment charges, and certain other non-operating, non-recurring or non-core gains and losses.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adjusted to exclude the impact of non-cash charges for share-based compensation, transaction-related costs and adjustments, restructuring and transformation charges, costs related to the Hosted Exchange incident, certain other non-operating, non-recurring or non-core gains and losses, interest expense, expenses for our accounts receivable purchase agreement, income taxes, depreciation and amortization, and goodwill and asset impairment charges.</w:t>
      </w:r>
    </w:p>
    <w:p>
      <w:pPr>
        <w:spacing w:after="0" w:line="20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spacing w:after="0" w:line="20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spacing w:after="0" w:line="216"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Non-GAAP Net Loss and Adjusted EBITDA to the most directly comparable GAAP financial measures. For a reconciliation of income (loss) from operations to Non-GAAP Operating Profit, see "</w:t>
      </w:r>
      <w:r>
        <w:rPr>
          <w:rFonts w:ascii="Times New Roman" w:cs="Times New Roman" w:eastAsia="Times New Roman" w:hAnsi="Times New Roman"/>
          <w:sz w:val="18"/>
          <w:szCs w:val="18"/>
          <w:i w:val="1"/>
          <w:iCs w:val="1"/>
          <w:color w:val="auto"/>
        </w:rPr>
        <w:t>Loss from Operations, Segment Operating Profit,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Non-GAAP Operating Profit</w:t>
      </w:r>
      <w:r>
        <w:rPr>
          <w:rFonts w:ascii="Times New Roman" w:cs="Times New Roman" w:eastAsia="Times New Roman" w:hAnsi="Times New Roman"/>
          <w:sz w:val="18"/>
          <w:szCs w:val="18"/>
          <w:color w:val="auto"/>
        </w:rPr>
        <w:t>" in the year-over-year comparison under "Results of Operations"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Non-GAAP Net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10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10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(c)</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Interest expense impact from the March 2024 Refinancing</w:t>
            </w: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Transactions </w:t>
            </w:r>
            <w:r>
              <w:rPr>
                <w:rFonts w:ascii="Times New Roman" w:cs="Times New Roman" w:eastAsia="Times New Roman" w:hAnsi="Times New Roman"/>
                <w:sz w:val="21"/>
                <w:szCs w:val="21"/>
                <w:color w:val="auto"/>
                <w:vertAlign w:val="superscript"/>
              </w:rPr>
              <w:t>(d)</w:t>
            </w: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adjustments </w:t>
            </w:r>
            <w:r>
              <w:rPr>
                <w:rFonts w:ascii="Times New Roman" w:cs="Times New Roman" w:eastAsia="Times New Roman" w:hAnsi="Times New Roman"/>
                <w:sz w:val="21"/>
                <w:szCs w:val="21"/>
                <w:color w:val="auto"/>
                <w:vertAlign w:val="superscript"/>
              </w:rPr>
              <w:t>(e)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intangible assets </w:t>
            </w:r>
            <w:r>
              <w:rPr>
                <w:rFonts w:ascii="Times New Roman" w:cs="Times New Roman" w:eastAsia="Times New Roman" w:hAnsi="Times New Roman"/>
                <w:sz w:val="21"/>
                <w:szCs w:val="21"/>
                <w:color w:val="auto"/>
                <w:vertAlign w:val="superscript"/>
              </w:rPr>
              <w:t>(f)</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Tax effect of non-GAAP adjustments </w:t>
            </w:r>
            <w:r>
              <w:rPr>
                <w:rFonts w:ascii="Times New Roman" w:cs="Times New Roman" w:eastAsia="Times New Roman" w:hAnsi="Times New Roman"/>
                <w:sz w:val="21"/>
                <w:szCs w:val="21"/>
                <w:color w:val="auto"/>
                <w:vertAlign w:val="superscript"/>
              </w:rPr>
              <w:t>(g)</w:t>
            </w: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0"/>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Net Loss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reconciliation to Adjusted EBITDA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Transaction-related adjustments, net </w:t>
            </w:r>
            <w:r>
              <w:rPr>
                <w:rFonts w:ascii="Times New Roman" w:cs="Times New Roman" w:eastAsia="Times New Roman" w:hAnsi="Times New Roman"/>
                <w:sz w:val="21"/>
                <w:szCs w:val="21"/>
                <w:color w:val="auto"/>
                <w:vertAlign w:val="superscript"/>
              </w:rPr>
              <w:t>(a)</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Restructuring and transformation expenses </w:t>
            </w:r>
            <w:r>
              <w:rPr>
                <w:rFonts w:ascii="Times New Roman" w:cs="Times New Roman" w:eastAsia="Times New Roman" w:hAnsi="Times New Roman"/>
                <w:sz w:val="21"/>
                <w:szCs w:val="21"/>
                <w:color w:val="auto"/>
                <w:vertAlign w:val="superscript"/>
              </w:rPr>
              <w:t>(b)</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Hosted Exchange incident expenses, net of proceeds received or</w:t>
            </w:r>
          </w:p>
        </w:tc>
        <w:tc>
          <w:tcPr>
            <w:tcW w:w="10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to be received under our insurance coverage</w:t>
            </w:r>
          </w:p>
        </w:tc>
        <w:tc>
          <w:tcPr>
            <w:tcW w:w="10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goodwill</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assets, net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gain on divestiture and investments </w:t>
            </w:r>
            <w:r>
              <w:rPr>
                <w:rFonts w:ascii="Times New Roman" w:cs="Times New Roman" w:eastAsia="Times New Roman" w:hAnsi="Times New Roman"/>
                <w:sz w:val="21"/>
                <w:szCs w:val="21"/>
                <w:color w:val="auto"/>
                <w:vertAlign w:val="superscript"/>
              </w:rPr>
              <w:t>(c)</w:t>
            </w:r>
          </w:p>
        </w:tc>
        <w:tc>
          <w:tcPr>
            <w:tcW w:w="10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debt extinguishment, net of debt modification costs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expense, net </w:t>
            </w:r>
            <w:r>
              <w:rPr>
                <w:rFonts w:ascii="Times New Roman" w:cs="Times New Roman" w:eastAsia="Times New Roman" w:hAnsi="Times New Roman"/>
                <w:sz w:val="21"/>
                <w:szCs w:val="21"/>
                <w:color w:val="auto"/>
                <w:vertAlign w:val="superscript"/>
              </w:rPr>
              <w:t>(h)</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Depreciation and amortization </w:t>
            </w:r>
            <w:r>
              <w:rPr>
                <w:rFonts w:ascii="Times New Roman" w:cs="Times New Roman" w:eastAsia="Times New Roman" w:hAnsi="Times New Roman"/>
                <w:sz w:val="21"/>
                <w:szCs w:val="21"/>
                <w:color w:val="auto"/>
                <w:vertAlign w:val="superscript"/>
              </w:rPr>
              <w:t>(i)</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80" w:hanging="339"/>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purchase accounting adjustments, exploratory acquisition and divestiture costs, and expenses related to financing activities.</w:t>
      </w:r>
    </w:p>
    <w:p>
      <w:pPr>
        <w:spacing w:after="0" w:line="59" w:lineRule="exact"/>
        <w:rPr>
          <w:rFonts w:ascii="Times New Roman" w:cs="Times New Roman" w:eastAsia="Times New Roman" w:hAnsi="Times New Roman"/>
          <w:sz w:val="16"/>
          <w:szCs w:val="16"/>
          <w:color w:val="auto"/>
        </w:rPr>
      </w:pPr>
    </w:p>
    <w:p>
      <w:pPr>
        <w:ind w:left="480" w:right="40" w:hanging="344"/>
        <w:spacing w:after="0" w:line="263"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six months ended June 30, 2024 also includes a $9.0 million MEIA early termination fee associated with the sale of our corporate headquarters in March 2024.</w:t>
      </w:r>
    </w:p>
    <w:p>
      <w:pPr>
        <w:spacing w:after="0" w:line="2"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gains and losses on investment and from dispositions.</w:t>
      </w:r>
    </w:p>
    <w:p>
      <w:pPr>
        <w:spacing w:after="0" w:line="59" w:lineRule="exact"/>
        <w:rPr>
          <w:rFonts w:ascii="Times New Roman" w:cs="Times New Roman" w:eastAsia="Times New Roman" w:hAnsi="Times New Roman"/>
          <w:sz w:val="16"/>
          <w:szCs w:val="16"/>
          <w:color w:val="auto"/>
        </w:rPr>
      </w:pPr>
    </w:p>
    <w:p>
      <w:pPr>
        <w:ind w:left="480" w:right="60" w:hanging="344"/>
        <w:spacing w:after="0" w:line="280"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impact due to the accounting for contractual interest payments on debt instruments entered into as part of the March 2024 Refinancing Transactions, which reduced interest expense relative to contractual interest cost.</w:t>
      </w:r>
    </w:p>
    <w:p>
      <w:pPr>
        <w:spacing w:after="0" w:line="2" w:lineRule="exact"/>
        <w:rPr>
          <w:rFonts w:ascii="Times New Roman" w:cs="Times New Roman" w:eastAsia="Times New Roman" w:hAnsi="Times New Roman"/>
          <w:sz w:val="16"/>
          <w:szCs w:val="16"/>
          <w:color w:val="auto"/>
        </w:rPr>
      </w:pPr>
    </w:p>
    <w:p>
      <w:pPr>
        <w:ind w:left="480" w:hanging="339"/>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w:t>
      </w:r>
    </w:p>
    <w:p>
      <w:pPr>
        <w:spacing w:after="0" w:line="59" w:lineRule="exact"/>
        <w:rPr>
          <w:rFonts w:ascii="Times New Roman" w:cs="Times New Roman" w:eastAsia="Times New Roman" w:hAnsi="Times New Roman"/>
          <w:sz w:val="16"/>
          <w:szCs w:val="16"/>
          <w:color w:val="auto"/>
        </w:rPr>
      </w:pPr>
    </w:p>
    <w:p>
      <w:pPr>
        <w:ind w:left="480" w:hanging="330"/>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intangible assets are attributable to acquisitions, including the Rackspace Acquisition in 2016.</w:t>
      </w:r>
    </w:p>
    <w:p>
      <w:pPr>
        <w:spacing w:after="0" w:line="59" w:lineRule="exact"/>
        <w:rPr>
          <w:rFonts w:ascii="Times New Roman" w:cs="Times New Roman" w:eastAsia="Times New Roman" w:hAnsi="Times New Roman"/>
          <w:sz w:val="16"/>
          <w:szCs w:val="16"/>
          <w:color w:val="auto"/>
        </w:rPr>
      </w:pPr>
    </w:p>
    <w:p>
      <w:pPr>
        <w:ind w:left="480" w:right="60" w:hanging="344"/>
        <w:spacing w:after="0" w:line="248" w:lineRule="auto"/>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2024 and 2025 interim periods, we based it on an average of the 2023 and estimated 2024 tax rates and 2024 and estimated 2025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p>
      <w:pPr>
        <w:spacing w:after="0" w:line="18" w:lineRule="exact"/>
        <w:rPr>
          <w:rFonts w:ascii="Times New Roman" w:cs="Times New Roman" w:eastAsia="Times New Roman" w:hAnsi="Times New Roman"/>
          <w:sz w:val="16"/>
          <w:szCs w:val="16"/>
          <w:color w:val="auto"/>
        </w:rPr>
      </w:pPr>
    </w:p>
    <w:p>
      <w:pPr>
        <w:ind w:left="480" w:hanging="344"/>
        <w:spacing w:after="0"/>
        <w:tabs>
          <w:tab w:leader="none" w:pos="4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foreign currency gains and losses and expense related to our accounts receivable purchase agreement.</w:t>
      </w:r>
    </w:p>
    <w:p>
      <w:pPr>
        <w:spacing w:after="0" w:line="59" w:lineRule="exact"/>
        <w:rPr>
          <w:sz w:val="20"/>
          <w:szCs w:val="20"/>
          <w:color w:val="auto"/>
        </w:rPr>
      </w:pPr>
    </w:p>
    <w:p>
      <w:pPr>
        <w:ind w:left="480" w:hanging="326"/>
        <w:spacing w:after="0"/>
        <w:tabs>
          <w:tab w:leader="none" w:pos="4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accelerated depreciation expense related to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Earnings (Loss) Per Share</w:t>
      </w:r>
    </w:p>
    <w:p>
      <w:pPr>
        <w:spacing w:after="0" w:line="25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The following table reconciles Non-GAAP Loss Per Share to our GAAP net earnings (loss) per share on a diluted basis: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73"/>
        </w:trPr>
        <w:tc>
          <w:tcPr>
            <w:tcW w:w="4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 Diluted</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Effect of dilutive securities </w:t>
            </w:r>
            <w:r>
              <w:rPr>
                <w:rFonts w:ascii="Times New Roman" w:cs="Times New Roman" w:eastAsia="Times New Roman" w:hAnsi="Times New Roman"/>
                <w:sz w:val="21"/>
                <w:szCs w:val="21"/>
                <w:color w:val="auto"/>
                <w:vertAlign w:val="superscript"/>
              </w:rPr>
              <w:t>(a)</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9"/>
        </w:trPr>
        <w:tc>
          <w:tcPr>
            <w:tcW w:w="4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Non-GAAP weighted average number of shares - Diluted</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 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r>
      <w:tr>
        <w:trPr>
          <w:trHeight w:val="219"/>
        </w:trPr>
        <w:tc>
          <w:tcPr>
            <w:tcW w:w="4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Per share impacts of adjustments to net income (loss) </w:t>
            </w:r>
            <w:r>
              <w:rPr>
                <w:rFonts w:ascii="Times New Roman" w:cs="Times New Roman" w:eastAsia="Times New Roman" w:hAnsi="Times New Roman"/>
                <w:sz w:val="21"/>
                <w:szCs w:val="21"/>
                <w:color w:val="auto"/>
                <w:vertAlign w:val="superscript"/>
              </w:rPr>
              <w:t>(b)</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r>
      <w:tr>
        <w:trPr>
          <w:trHeight w:val="216"/>
        </w:trPr>
        <w:tc>
          <w:tcPr>
            <w:tcW w:w="458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Per share impacts of shares after adjustments to net income (loss) </w:t>
            </w:r>
            <w:r>
              <w:rPr>
                <w:rFonts w:ascii="Times New Roman" w:cs="Times New Roman" w:eastAsia="Times New Roman" w:hAnsi="Times New Roman"/>
                <w:sz w:val="21"/>
                <w:szCs w:val="21"/>
                <w:color w:val="auto"/>
                <w:vertAlign w:val="superscript"/>
              </w:rPr>
              <w:t>(a)</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5"/>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Loss Per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80" w:right="120" w:hanging="339"/>
        <w:spacing w:after="0" w:line="260" w:lineRule="auto"/>
        <w:tabs>
          <w:tab w:leader="none" w:pos="4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certain investment funds managed by affiliates of Apollo achieving pre-established performance targets based on a multiple of their invested capital ("MOI</w:t>
      </w:r>
      <w:r>
        <w:rPr>
          <w:rFonts w:ascii="Times New Roman" w:cs="Times New Roman" w:eastAsia="Times New Roman" w:hAnsi="Times New Roman"/>
          <w:sz w:val="17"/>
          <w:szCs w:val="17"/>
          <w:color w:val="auto"/>
        </w:rPr>
        <w:t>C")</w:t>
      </w:r>
      <w:r>
        <w:rPr>
          <w:rFonts w:ascii="Times New Roman" w:cs="Times New Roman" w:eastAsia="Times New Roman" w:hAnsi="Times New Roman"/>
          <w:sz w:val="16"/>
          <w:szCs w:val="16"/>
          <w:color w:val="auto"/>
        </w:rPr>
        <w:t>, which are included in the denominator for the entire period if such shares would be issuable as of the end of the reporting period assuming the end of the reporting period was the end of the contingency period.</w:t>
      </w:r>
    </w:p>
    <w:p>
      <w:pPr>
        <w:spacing w:after="0" w:line="3" w:lineRule="exact"/>
        <w:rPr>
          <w:rFonts w:ascii="Times New Roman" w:cs="Times New Roman" w:eastAsia="Times New Roman" w:hAnsi="Times New Roman"/>
          <w:sz w:val="16"/>
          <w:szCs w:val="16"/>
          <w:color w:val="auto"/>
        </w:rPr>
      </w:pPr>
    </w:p>
    <w:p>
      <w:pPr>
        <w:ind w:left="480" w:right="520" w:hanging="344"/>
        <w:spacing w:after="0" w:line="280" w:lineRule="auto"/>
        <w:tabs>
          <w:tab w:leader="none" w:pos="4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adjustments made to reconcile Non-GAAP Net Loss to our net income (loss), as noted in the above table, divided by the GAAP diluted number of shares outstanding for the relevant period.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6"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with internally-generated cash from operations and hardware leases, and if necessary, borrowings under the New Revolving Credit Facility. As of June 30, 2025, the New Revolving Credit Facility provided for up to $375 million of borrowings, $65 million of which was drawn and outstanding as of June 30, 2025.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New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spacing w:after="0" w:line="2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indenture governing the 3.50% FLSO Senior Secured Notes (the “3.50% FLSO Senior Secured Notes Indenture”), the indenture governing the 5.375% Senior Notes (the "5.375% Notes Indenture") or the indenture governing the 3.50% Senior Secured Notes (the "3.50% Notes Indenture" and, together with the 3.50% FLSO Senior Secured Notes Indenture and 5.375% Notes Indenture, the "Indentures"), if applicable), for cash or other consideration.</w:t>
      </w:r>
    </w:p>
    <w:p>
      <w:pPr>
        <w:spacing w:after="0" w:line="21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At June 30, 2025, we held $104 million in cash and cash equivalents (not including $2 million in restricted cash, which is included in "Other non-current assets"), of which $74 million was held by foreign entities.</w:t>
      </w:r>
    </w:p>
    <w:p>
      <w:pPr>
        <w:spacing w:after="0" w:line="18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installment payment arrangements with certain equipment and software vendors, along with sale-leaseback arrangements for equipment and certain property leases that are considered financing obligations. We had $44 million outstanding with respect to these arrangements as of June 30, 2025. We may choose to utilize these various sources of funding in future periods.</w:t>
      </w:r>
    </w:p>
    <w:p>
      <w:pPr>
        <w:spacing w:after="0" w:line="203"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also lease certain equipment and real estate under operating and finance lease agreements. We had $476 million outstanding with respect to operating and finance lease agreements as of June 30, 2025. We may choose to utilize such leasing arrangements in future periods.</w:t>
      </w:r>
    </w:p>
    <w:p>
      <w:pPr>
        <w:spacing w:after="0" w:line="18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As of June 30, 2025, we had $2,439 million aggregate principal amount outstanding under the FLSO Term Loan Facility, the FLFO Term Loan Facility, the Term Loan Facility, 3.50% FLSO Senior Secured Notes, 5.375% Senior Notes, and 3.50% Senior Secured Notes. The New Revolving Credit Facility provides for up to $375 million of borrowings, $65 million of which was drawn and outstanding as of June 30, 2025. Our liquidity requirements are significant, primarily due to debt service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ind w:right="160" w:firstLine="486"/>
        <w:spacing w:after="0" w:line="289" w:lineRule="auto"/>
        <w:rPr>
          <w:sz w:val="20"/>
          <w:szCs w:val="20"/>
          <w:color w:val="auto"/>
        </w:rPr>
      </w:pPr>
      <w:r>
        <w:rPr>
          <w:rFonts w:ascii="Times New Roman" w:cs="Times New Roman" w:eastAsia="Times New Roman" w:hAnsi="Times New Roman"/>
          <w:sz w:val="17"/>
          <w:szCs w:val="17"/>
          <w:color w:val="auto"/>
        </w:rPr>
        <w:t>In March 2024, we initiated a series of debt refinancing transactions that substantially impacted our existing debt instruments: the Senior Facilities, the 3.50% Senior Secured Notes, and the 5.375% Senior Notes. We also entered into new debt instruments: the New Senior Facilities, which includes the FLSO Term Loan Facility, the FLFO Term Loan Facility, and the New Revolving Credit Facility, and the 3.50% FLSO Senior Secured Notes.</w:t>
      </w:r>
    </w:p>
    <w:p>
      <w:pPr>
        <w:spacing w:after="0" w:line="18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See Item 1 of Part I, Financial Statements - Note 7, “Debt,” for more information regarding the March 2024 Refinancing Transactions and the related accounting impacts.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Debt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Senior Facilities</w:t>
      </w:r>
    </w:p>
    <w:p>
      <w:pPr>
        <w:spacing w:after="0" w:line="2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On March 12, 2024, Rackspace Finance Holdings, LLC ( “Rackspace Finance Holdings”), Rackspace Finance, LLC ( “Rackspace Finance”), the lenders and issuing banks party thereto and Citibank, N.A., as the administrative agent and collateral agent, entered into the credit agreement governing the FLSO Term Loan Facility, FLFO Term Loan Facility and New Revolving Credit Facility (together, the “New Senior Facilities”) (the “New First Lien Credit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FLSO Term Loan Facility</w:t>
      </w:r>
    </w:p>
    <w:p>
      <w:pPr>
        <w:spacing w:after="0" w:line="23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Rackspace Finance issued the FLSO Term Loan Facility in an aggregate principal amount of $1,687 million. The FLSO Term Loan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contractual interest rate on the FLSO Term Loan Facility was 7.18%. We are required to make quarterly principal payments of $4 million, which began on March 31, 2024.</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FLSO Term Loan Facility are guaranteed on a senior secured basis, jointly and severally, by Rackspace Finance Holdings on a limited-recourse basis and by certain of Rackspace Finance’s subsidiaries (the “Subsidiary Guarantors”). The obligations under the FLSO Term Loan Facility are secured by a pledge of Rackspace Finance’s capital stock directly held by Rackspace Finance Holdings and substantially all of Rackspace Finance’s and the Subsidiary Guarantors’ assets, subject to exceptions.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$1,618 million in aggregate principal amount of the FLSO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FLSO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FLFO Term Loan Facility</w:t>
      </w:r>
    </w:p>
    <w:p>
      <w:pPr>
        <w:spacing w:after="0" w:line="25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Rackspace Finance issued the FLFO Term Loan Facility in an aggregate principal amount $275 million. The FLFO Term Loan Facility matures on May 15, 2028.</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the contractual interest rate on the FLFO Term Loan Facility was 10.68%. We are required to make quarterly principal payments of $0.7 million, which began on June 30,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FLFO Term Loan Facility are guaranteed on a senior secured basis, jointly and severally, by Rackspace Finance Holdings on a limited-recourse basis and by the Subsidiary Guarantors. The obligations under the FLFO Term Loan Facility are secured by the same collateral that secures the FLSO Term Loan Facility, the New Revolving Credit Facility and the 3.50% FLSO Senior Secured Notes.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$272 million aggregate principal amount of the FLFO Term Loan Facility remained outstanding.</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FLFO Term Loan Facility that result from fluctuations in Term SOFR. See Item 1 of Part I, Financial Statements - Note 11, “Derivatives,” for more information on the interest rate swap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Revolving Credit Facility</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Rackspace Finance established the New Revolving Credit Facility in an aggregate principal amount of $375 million of commitments. All revolving lenders under the prior Revolving Credit Facility exchanged their revolving loan commitments for commitments in respect of the New Revolving Credit Facility, which replaced in full the prior Revolving Credit Facility. The New Revolving Credit Facility matures on May 15, 2028.</w:t>
      </w: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New Revolving Credit Facility includes a commitment fee equal to 0.50% per annum in respect of the unused commitments that is due quarterly. This fee is subject to one step-down based on the net first lien leverage ratio.</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New Revolving Credit Facility are guaranteed on a senior secured basis, jointly and severally, by Rackspace Finance Holdings on a limited-recourse basis and by the Subsidiary Guarantors. The obligations under the New Revolving Credit Facility are secured by the same collateral that secures the FLSO Term Loan Facility, the FLFO Term Loan Facility and the 3.50% FLSO Senior Secured Notes.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2025, we had total commitments of $375 million, $65 million of outstanding borrowings under the New Revolving Credit Facility, and $24 million of letters of credit issued thereunder. As such, as of June 30, 2025, we had $310 million of available commitments remaining.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FLSO Senior Secured Notes due 2028</w:t>
      </w:r>
    </w:p>
    <w:p>
      <w:pPr>
        <w:spacing w:after="0" w:line="2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On March 12, 2024, Rackspace Finance issued $267 million initial aggregate principal amount of 3.50% FLSO Senior Secured Notes. The 3.50% FLSO Senior Secured Notes will mature on May 15, 2028 and bear interest at an annual fixed rate of 3.50%. Interest is payable semiannually on February 15 and August 15, commencing on August 15, 2024.</w:t>
      </w:r>
    </w:p>
    <w:p>
      <w:pPr>
        <w:spacing w:after="0" w:line="20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16, 2024, we completed the Public Note Exchange, pursuant to which (i) $138 million aggregate principal amount of the existing 3.50% Senior Secured Notes were exchanged or purchased for cancellation and (ii) $97 million aggregate principal amount of 3.50% FLSO Senior Secured Notes were issued by Rackspace Finance.</w:t>
      </w: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Rackspace Finance is the borrower and all obligations under the 3.50% FLSO Senior Secured Notes are fully and unconditionally guaranteed, jointly and severally, by Rackspace Finance Holdings on a limited-recourse basis and by the Subsidiary Guarantors. The obligations under the 3.50% FLSO Senior Secured Notes are secured by the same collateral that secures the FLSO Term Loan Facility, the FLFO Term Loan Facility and the New Revolving Credit Facility.</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$319 million aggregate principal amount of the 3.50% FLSO Senior Secured Notes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Debt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Facilitie</w:t>
      </w:r>
      <w:r>
        <w:rPr>
          <w:rFonts w:ascii="Times New Roman" w:cs="Times New Roman" w:eastAsia="Times New Roman" w:hAnsi="Times New Roman"/>
          <w:sz w:val="18"/>
          <w:szCs w:val="18"/>
          <w:b w:val="1"/>
          <w:bCs w:val="1"/>
          <w:i w:val="1"/>
          <w:iCs w:val="1"/>
          <w:color w:val="auto"/>
        </w:rPr>
        <w:t>s</w:t>
      </w:r>
    </w:p>
    <w:p>
      <w:pPr>
        <w:spacing w:after="0" w:line="256"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On February 9, 2021, we amended and restated the credit agreement governing our senior secured credit facilities (the "First Lien Credit Agreement"), which included a new seven-year $2,300 million senior secured first lien term loan facility (the "Term Loan Facility") and the prior Revolving Credit Facility (together, the "Senior Facilities"). The Term Loan Facility will mature on February 15, 2028 and the prior Revolving Credit Facility was set to mature on August 7, 2025.</w:t>
      </w:r>
    </w:p>
    <w:p>
      <w:pPr>
        <w:spacing w:after="0" w:line="207"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Interest on the Term Loan Facility is due at the end of each interest period elected, not exceeding 90 days, for SOFR loans and at the end of every calendar quarter for base rate loans. As of June 30, 2025, the contractual interest rate on the Term Loan Facility was 7.18%. We are required to make quarterly amortization payments of $0.2 million. The Revolving Credit Facility included a commitment fee equal to 0.50% per annum in respect of the unused commitments that was due quarterly. This fee was subject to one step-down based on the net first lien leverage ratio. The Senior Facilities require us to make certain mandatory prepayments under certain conditions defined in the First Lien Credit Agreement.</w:t>
      </w:r>
    </w:p>
    <w:p>
      <w:pPr>
        <w:spacing w:after="0" w:line="21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$61 million aggregate principal amount of the Term Loan Facility remained outstanding and the prior Revolving Credit Facility was replaced in full by the New Revolving Credit Facility. See Item 1 of Part I, Financial Statements - Note 7, “Debt,” for more information regarding our Senior Facilities.</w:t>
      </w:r>
    </w:p>
    <w:p>
      <w:pPr>
        <w:spacing w:after="0" w:line="203"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interest rate swap agreements to manage the interest rate risk associated with interest payments on the Term Loan Facility that result from fluctuations in Term SOFR. See Item 1 of Part I, Financial Statements - Note 11, "Derivatives," for more information on the interest rate swap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Senior Secured Notes due 2028</w:t>
      </w:r>
    </w:p>
    <w:p>
      <w:pPr>
        <w:spacing w:after="0" w:line="2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On February 9, 2021, Rackspace Technology Global issued $550 million aggregate principal amount of 3.50% Senior Secured Notes. The 3.50% Senior Secured Notes will mature on February 15, 2028 and bear interest at an annual fixed rate of 3.50%. Interest is payable semiannually on February 15 and August 15, commencing on August 15, 2021.</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$44 million aggregate principal amount of the 3.50% Senior Secured Notes remained outstanding.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5.375% Senior Notes due 2028</w:t>
      </w:r>
    </w:p>
    <w:p>
      <w:pPr>
        <w:spacing w:after="0" w:line="254" w:lineRule="exact"/>
        <w:rPr>
          <w:sz w:val="20"/>
          <w:szCs w:val="20"/>
          <w:color w:val="auto"/>
        </w:rPr>
      </w:pPr>
    </w:p>
    <w:p>
      <w:pPr>
        <w:jc w:val="both"/>
        <w:ind w:right="420" w:firstLine="486"/>
        <w:spacing w:after="0" w:line="261" w:lineRule="auto"/>
        <w:rPr>
          <w:sz w:val="20"/>
          <w:szCs w:val="20"/>
          <w:color w:val="auto"/>
        </w:rPr>
      </w:pPr>
      <w:r>
        <w:rPr>
          <w:rFonts w:ascii="Times New Roman" w:cs="Times New Roman" w:eastAsia="Times New Roman" w:hAnsi="Times New Roman"/>
          <w:sz w:val="18"/>
          <w:szCs w:val="18"/>
          <w:color w:val="auto"/>
        </w:rPr>
        <w:t>Rackspace Technology Global issued $550 million aggregate principal amount of the 5.375% Senior Notes on December 1, 2020. The 5.375% Senior Notes will mature on December 1, 2028 and bear interest at a fixed rate of 5.375% per year, payable semi-annually on June 1 and December 1, commencing on June 1, 2021. The 5.375% Senior Notes are guaranteed on a senior unsecured basis by all of Rackspace Technology Global's wholly-owned domestic restricted subsidiaries that guarantee the Senior Facilities.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$125 million aggregate principal amount of the 5.375% Senior Notes remained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25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FLSO Term Loan Facility, FLFO Term Loan Facility, and Term Loan Facility are not subject to a financial maintenance covenant. The New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New First Lien Credit Agreement governing the New Senior Facilities). However, this financial maintenance covenant will only be applicable and tested if the aggregate amount of outstanding borrowings under the New Revolving Credit Facility and letters of credit issued thereunder (excluding $25 million of undrawn letters of credit and cash collateralized letters of credit) as of the last day of a fiscal quarter is greater than 35% of the New Revolving Credit Facility commitments as of the last day of such fiscal quarter. Additional covenants in the New Senior Facilities and Senior Facilities limit our subsidiaries' ability to, among other things, incur certain additional debt and liens, pay certain dividends or make other restricted payments, make certain investments, make certain asset sales and enter into certain transactions with affiliates.</w:t>
      </w:r>
    </w:p>
    <w:p>
      <w:pPr>
        <w:spacing w:after="0" w:line="2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spacing w:after="0" w:line="21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any changes in GAAP subsequent to the date of issuance, whereas under the New Senior Facilities and Senior Facilities the calculation of consolidated EBITDA takes into account the impact of certain changes in GAAP subsequent to December 1, 2020 other than with respect to capital leases.</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we were in compliance with all covenants under the New Senior Facilities, the Senior Facilities and the Indentures.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w:t>
      </w:r>
    </w:p>
    <w:p>
      <w:pPr>
        <w:spacing w:after="0" w:line="25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w:t>
      </w:r>
    </w:p>
    <w:p>
      <w:pPr>
        <w:spacing w:after="0" w:line="207"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As of June 30, 2025, the New Credit Group had total assets of $2,870 million and total liabilities of $3,773 million, which included total debt of $2,571 million. The financial information for the New Credit Group differs from the financial information for the company and its consolidated subsidiaries primarily because Rackspace Technology Global has (i) debt that is not guaranteed by the New Credit Group, which debt was $229 million as of June 30, 2025, and (ii) Rackspace Technology Global is the party to the interest rate swap which had a net asset value of $14 million as of June 30, 2025.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our total capital expenditures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gear</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3"/>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Data center build outs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Office build outs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and other projects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37"/>
        </w:trPr>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capital expenditures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18"/>
          <w:szCs w:val="18"/>
          <w:color w:val="auto"/>
        </w:rPr>
        <w:t>Capital expenditures were $58 million in the six months ended June 30, 2025, compared to $79 million in the six months ended June 30, 2024, a decrease of $21 million. The decrease in capital expenditures was driven by an internal focus on optimizing current inventory of assets, purchases of gear during the first half of 2024 to support several large healthcare deals, and lower capital requirements on recent deals.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certain cash flow information for the periods indicated:</w:t>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operating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879"/>
              <w:spacing w:after="0"/>
              <w:rPr>
                <w:sz w:val="20"/>
                <w:szCs w:val="20"/>
                <w:color w:val="auto"/>
              </w:rPr>
            </w:pPr>
            <w:r>
              <w:rPr>
                <w:rFonts w:ascii="Times New Roman" w:cs="Times New Roman" w:eastAsia="Times New Roman" w:hAnsi="Times New Roman"/>
                <w:sz w:val="16"/>
                <w:szCs w:val="16"/>
                <w:color w:val="auto"/>
              </w:rPr>
              <w:t>21.0</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center"/>
              <w:ind w:left="859"/>
              <w:spacing w:after="0"/>
              <w:rPr>
                <w:sz w:val="20"/>
                <w:szCs w:val="20"/>
                <w:color w:val="auto"/>
              </w:rPr>
            </w:pPr>
            <w:r>
              <w:rPr>
                <w:rFonts w:ascii="Times New Roman" w:cs="Times New Roman" w:eastAsia="Times New Roman" w:hAnsi="Times New Roman"/>
                <w:sz w:val="16"/>
                <w:szCs w:val="16"/>
                <w:color w:val="auto"/>
              </w:rPr>
              <w:t>(29.9)</w:t>
            </w: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center"/>
              <w:ind w:left="859"/>
              <w:spacing w:after="0"/>
              <w:rPr>
                <w:sz w:val="20"/>
                <w:szCs w:val="20"/>
                <w:color w:val="auto"/>
              </w:rPr>
            </w:pPr>
            <w:r>
              <w:rPr>
                <w:rFonts w:ascii="Times New Roman" w:cs="Times New Roman" w:eastAsia="Times New Roman" w:hAnsi="Times New Roman"/>
                <w:sz w:val="16"/>
                <w:szCs w:val="16"/>
                <w:color w:val="auto"/>
              </w:rPr>
              <w:t>(35.7)</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spacing w:after="0" w:line="203"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$21 million in the six months ended June 30, 2025 compared to $66 million of net cash used in operating activities in the six months ended June 30, 2024. The increase in operating cash between periods was primarily driven by a decrease of $22 million of cash paid for operating expenses in the six months ended June 30, 2025 compared to the six months ended June 30, 2024. Additionally, there was an increase in cash proceeds related to accounts receivable sold of $28 million in the six months ended June 30, 2025 compared to a decrease of $18 million in the six months ended June 30, 2024. Lastly, in the six months ended June 30, 2024, $32 million in third party fees were paid in connection with the March 2024 Refinancing Transactions and a $9 million early termination fee associated with the sale of our corporate headquarters was paid. There were no similar one time fees paid in the six months ended June 30, 2025. These increases in cash from operating activities were partially offset by a reduction in cash receipts from customers between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5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spacing w:after="0" w:line="203"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$20 million, or 40%, in the six months ended June 30, 2025 compared to the six months ended June 30, 2024 primarily due to a $38 million reduction in cash purchases of property, equipment, and software between periods, partially offset by $17 million of net proceeds received in the six months ended June 30, 2024 from the March 2024 sale of our corporate headquarters facility.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$36 million in the six months ended June 30, 2025 compared to $110 million of net cash provided by financing activities in the six months ended June 30, 2024. The change was primarily driven by $275 million of proceeds received in the six months ended June 30, 2024 from the FLFO Term Loan Facility as part of the March 2024 Refinancing Transactions compared to $80 million of debt proceeds in the current period from borrowings on the New Revolving Credit Facility. This activity was partially offset by a reduction in debt repayments of $25 million between periods and $22 million of payments in the six months ended June 30, 2024 related to debt extinguishment costs.</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56" w:lineRule="exact"/>
        <w:rPr>
          <w:sz w:val="20"/>
          <w:szCs w:val="20"/>
          <w:color w:val="auto"/>
        </w:rPr>
      </w:pPr>
    </w:p>
    <w:p>
      <w:pPr>
        <w:jc w:val="both"/>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floating-rate debt under our Senior Facilities and New Senior Facilities, which includes our $375 million New Revolving Credit Facility and $1,951 million outstanding under the Term Loan Facility, FLSO Term Loan Facility, and FLFO Term Loan Facility. As of June 30, 2025, there was $65 million of outstanding borrowings under the New Revolving Credit Facility. As of June 30, 2025, assuming the New Revolving Credit Facility was fully drawn, each 0.125% change in assumed blended interest rates would result in a $3 million change in annual interest expense on indebtedness under the Senior Facilities and New Senior Facilities.</w:t>
      </w:r>
    </w:p>
    <w:p>
      <w:pPr>
        <w:spacing w:after="0" w:line="21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Term Loan Facility, FLSO Term Loan Facility, and FLFO Term Loan Facility bear interest at an annual rate equal to an applicable margin plus one-month Term SOFR, subject to a 0.75% floor. We have entered into an interest rate swap agreement indexed to one-month Term SOFR (subject to a floor of 0.75%) in order to manage our risk from fluctuations in one-month Term SOFR above the 0.75% floor.</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terms of the swap outstanding as of June 30, 2025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Transaction Date</w:t>
            </w:r>
          </w:p>
        </w:tc>
        <w:tc>
          <w:tcPr>
            <w:tcW w:w="2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 Date</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Notional Amount (in</w:t>
            </w: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 Paid</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0" w:type="dxa"/>
            <w:vAlign w:val="bottom"/>
          </w:tcPr>
          <w:p>
            <w:pPr>
              <w:spacing w:after="0"/>
              <w:rPr>
                <w:sz w:val="1"/>
                <w:szCs w:val="1"/>
                <w:color w:val="auto"/>
              </w:rPr>
            </w:pPr>
          </w:p>
        </w:tc>
      </w:tr>
      <w:tr>
        <w:trPr>
          <w:trHeight w:val="214"/>
        </w:trPr>
        <w:tc>
          <w:tcPr>
            <w:tcW w:w="2580" w:type="dxa"/>
            <w:vAlign w:val="bottom"/>
            <w:gridSpan w:val="2"/>
            <w:vMerge w:val="continue"/>
          </w:tcPr>
          <w:p>
            <w:pPr>
              <w:spacing w:after="0"/>
              <w:rPr>
                <w:sz w:val="18"/>
                <w:szCs w:val="18"/>
                <w:color w:val="auto"/>
              </w:rPr>
            </w:pPr>
          </w:p>
        </w:tc>
        <w:tc>
          <w:tcPr>
            <w:tcW w:w="25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820" w:type="dxa"/>
            <w:vAlign w:val="bottom"/>
            <w:gridSpan w:val="2"/>
            <w:vMerge w:val="continue"/>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2021</w:t>
            </w: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2.34150%</w:t>
            </w:r>
          </w:p>
        </w:tc>
        <w:tc>
          <w:tcPr>
            <w:tcW w:w="10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9, 2026</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Item 1 of Part I, Financial Statements - Note 11, "Derivatives," for more information on interest rate swaps.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 w:cs="Times New Roman" w:eastAsia="Times New Roman" w:hAnsi="Times New Roman"/>
          <w:sz w:val="18"/>
          <w:szCs w:val="18"/>
          <w:i w:val="1"/>
          <w:iCs w:val="1"/>
          <w:color w:val="auto"/>
        </w:rPr>
        <w:t>Constant Currency Revenue</w:t>
      </w:r>
      <w:r>
        <w:rPr>
          <w:rFonts w:ascii="Times New Roman" w:cs="Times New Roman" w:eastAsia="Times New Roman" w:hAnsi="Times New Roman"/>
          <w:sz w:val="18"/>
          <w:szCs w:val="18"/>
          <w:color w:val="auto"/>
        </w:rPr>
        <w:t>."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2025, we recognized foreign currency transaction gains of $0.1 million within "Other expense, net" in our Condensed Consolidated Statements of Comprehensive Income (Loss). As we grow our international operations, our exposure to foreign currency translation and transaction risk could become more significant.</w:t>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in the past and may in the future enter into foreign currency hedging instruments to limit our exposure to foreign currency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Prices</w:t>
      </w:r>
    </w:p>
    <w:p>
      <w:pPr>
        <w:spacing w:after="0" w:line="243"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We are a large consumer of power. In the six months ended June 30, 2025, we expensed approximately $18 million for utility companies to power our data centers, representing approximately 1% of our revenue. Power costs vary by geography, the source of power generation and seasonal fluctuations and are subject to certain proposed legislation that may increase our exposure to increased power costs. We have power contracts for data centers in the Dallas-Fort Worth, San Jose, Somerset, New Jersey and London areas that allow us to procure power either on a fixed price or on a variable price basis.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jc w:val="both"/>
        <w:ind w:right="600" w:firstLine="486"/>
        <w:spacing w:after="0" w:line="266" w:lineRule="auto"/>
        <w:rPr>
          <w:sz w:val="20"/>
          <w:szCs w:val="20"/>
          <w:color w:val="auto"/>
        </w:rPr>
      </w:pPr>
      <w:r>
        <w:rPr>
          <w:rFonts w:ascii="Times New Roman" w:cs="Times New Roman" w:eastAsia="Times New Roman" w:hAnsi="Times New Roman"/>
          <w:sz w:val="18"/>
          <w:szCs w:val="18"/>
          <w:color w:val="auto"/>
        </w:rPr>
        <w:t>We have contingencies resulting from various litigation, claims and commitments. We record accruals for loss contingencies when losses are considered probable and can be reasonably estimated. The amount that will ultimately be paid related to these matters may differ from the recorded accruals, and the timing of such payments is uncertain.</w:t>
      </w:r>
    </w:p>
    <w:p>
      <w:pPr>
        <w:spacing w:after="0" w:line="203"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business. In addition, from time to time, third parties may bring intellectual property claims against us asserting that certain of our offerings, services and technologies infringe, misappropriate or otherwise violate the intellectual property or proprietary rights of others.</w:t>
      </w:r>
    </w:p>
    <w:p>
      <w:pPr>
        <w:spacing w:after="0" w:line="203"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We are not party to any litigation, the outcome of which, if determined adversely to us, would individually or in the aggregate be reasonably expected to have a material and adverse effect on our business, financial position or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ind w:right="2000" w:firstLine="2024"/>
        <w:spacing w:after="0" w:line="534" w:lineRule="auto"/>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 Unregistered Sales of Equity Securities</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5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none of the company’s directors or officers (as defined in Rule 16a-1(f) of the Exchange Act) adopted, modified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ITEM 6 – EXHIBITS</w:t>
      </w:r>
    </w:p>
    <w:p>
      <w:pPr>
        <w:sectPr>
          <w:pgSz w:w="11900" w:h="16838" w:orient="portrait"/>
          <w:cols w:equalWidth="0" w:num="1">
            <w:col w:w="10920"/>
          </w:cols>
          <w:pgMar w:left="320" w:top="121" w:right="659" w:bottom="1440" w:gutter="0" w:footer="0" w:header="0"/>
        </w:sect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9944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20"/>
        <w:spacing w:after="0"/>
        <w:tabs>
          <w:tab w:leader="none" w:pos="124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6"/>
          <w:szCs w:val="16"/>
          <w:color w:val="auto"/>
        </w:rPr>
        <w:t>*</w:t>
      </w:r>
    </w:p>
    <w:p>
      <w:pPr>
        <w:spacing w:after="0" w:line="266"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6"/>
          <w:szCs w:val="16"/>
          <w:color w:val="auto"/>
        </w:rPr>
        <w:t>*</w:t>
      </w:r>
    </w:p>
    <w:p>
      <w:pPr>
        <w:spacing w:after="0" w:line="50"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19685</wp:posOffset>
            </wp:positionV>
            <wp:extent cx="60521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2185" cy="889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302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Executive Officer pursuant to Section 906 of the Sarbanes-Oxley Act of 2002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Chief Financial Officer pursuant to Section 906 of the Sarbanes-Oxley Act of 2002</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 within 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50" w:lineRule="exact"/>
        <w:rPr>
          <w:sz w:val="20"/>
          <w:szCs w:val="20"/>
          <w:color w:val="auto"/>
        </w:rPr>
      </w:pPr>
    </w:p>
    <w:p>
      <w:pPr>
        <w:ind w:right="4260"/>
        <w:spacing w:after="0" w:line="314" w:lineRule="auto"/>
        <w:rPr>
          <w:sz w:val="20"/>
          <w:szCs w:val="20"/>
          <w:color w:val="auto"/>
        </w:rPr>
      </w:pPr>
      <w:r>
        <w:rPr>
          <w:rFonts w:ascii="Times New Roman" w:cs="Times New Roman" w:eastAsia="Times New Roman" w:hAnsi="Times New Roman"/>
          <w:sz w:val="17"/>
          <w:szCs w:val="17"/>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22" w:lineRule="exact"/>
        <w:rPr>
          <w:sz w:val="20"/>
          <w:szCs w:val="20"/>
          <w:color w:val="auto"/>
        </w:rPr>
      </w:pPr>
    </w:p>
    <w:p>
      <w:pPr>
        <w:sectPr>
          <w:pgSz w:w="11900" w:h="16838" w:orient="portrait"/>
          <w:cols w:equalWidth="0" w:num="2">
            <w:col w:w="1440" w:space="280"/>
            <w:col w:w="9200"/>
          </w:cols>
          <w:pgMar w:left="320" w:top="121" w:right="659" w:bottom="1440" w:gutter="0" w:footer="0" w:header="0"/>
          <w:type w:val="continuous"/>
        </w:sectPr>
      </w:pPr>
    </w:p>
    <w:p>
      <w:pPr>
        <w:ind w:left="420" w:hanging="250"/>
        <w:spacing w:after="0"/>
        <w:tabs>
          <w:tab w:leader="none" w:pos="42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Filed herewith.</w:t>
      </w:r>
    </w:p>
    <w:p>
      <w:pPr>
        <w:spacing w:after="0" w:line="23" w:lineRule="exact"/>
        <w:rPr>
          <w:sz w:val="20"/>
          <w:szCs w:val="20"/>
          <w:color w:val="auto"/>
        </w:rPr>
      </w:pPr>
    </w:p>
    <w:p>
      <w:pPr>
        <w:ind w:left="500" w:hanging="330"/>
        <w:spacing w:after="0"/>
        <w:tabs>
          <w:tab w:leader="none" w:pos="5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1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RACKSPACE TECHNOLOGY, INC.</w:t>
            </w:r>
          </w:p>
        </w:tc>
      </w:tr>
      <w:tr>
        <w:trPr>
          <w:trHeight w:val="76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c>
          <w:tcPr>
            <w:tcW w:w="28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5"/>
        </w:trPr>
        <w:tc>
          <w:tcPr>
            <w:tcW w:w="1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- 62 -</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Amar Maletira, certify that:</w:t>
      </w:r>
    </w:p>
    <w:p>
      <w:pPr>
        <w:spacing w:after="0" w:line="252" w:lineRule="exact"/>
        <w:rPr>
          <w:sz w:val="20"/>
          <w:szCs w:val="20"/>
          <w:color w:val="auto"/>
        </w:rPr>
      </w:pPr>
    </w:p>
    <w:p>
      <w:pPr>
        <w:ind w:left="900" w:hanging="40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Marino, certify that:</w:t>
      </w:r>
    </w:p>
    <w:p>
      <w:pPr>
        <w:spacing w:after="0" w:line="252" w:lineRule="exact"/>
        <w:rPr>
          <w:sz w:val="20"/>
          <w:szCs w:val="20"/>
          <w:color w:val="auto"/>
        </w:rPr>
      </w:pPr>
    </w:p>
    <w:p>
      <w:pPr>
        <w:ind w:left="900" w:hanging="40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Rackspace Technology, Inc.;</w:t>
      </w:r>
    </w:p>
    <w:p>
      <w:pPr>
        <w:spacing w:after="0" w:line="117" w:lineRule="exact"/>
        <w:rPr>
          <w:rFonts w:ascii="Times New Roman" w:cs="Times New Roman" w:eastAsia="Times New Roman" w:hAnsi="Times New Roman"/>
          <w:sz w:val="18"/>
          <w:szCs w:val="18"/>
          <w:color w:val="auto"/>
        </w:rPr>
      </w:pPr>
    </w:p>
    <w:p>
      <w:pPr>
        <w:jc w:val="both"/>
        <w:ind w:left="900" w:right="140" w:hanging="406"/>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right="100" w:hanging="40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00" w:right="80" w:hanging="406"/>
        <w:spacing w:after="0" w:line="276"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7"/>
          <w:szCs w:val="17"/>
          <w:color w:val="auto"/>
        </w:rPr>
      </w:pPr>
    </w:p>
    <w:p>
      <w:pPr>
        <w:ind w:left="1540" w:right="100" w:hanging="398"/>
        <w:spacing w:after="0" w:line="266" w:lineRule="auto"/>
        <w:tabs>
          <w:tab w:leader="none" w:pos="15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60" w:hanging="398"/>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right="20" w:hanging="398"/>
        <w:spacing w:after="0" w:line="266" w:lineRule="auto"/>
        <w:tabs>
          <w:tab w:leader="none" w:pos="15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hanging="398"/>
        <w:spacing w:after="0" w:line="26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right="40" w:hanging="406"/>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20" w:hanging="398"/>
        <w:spacing w:after="0" w:line="282" w:lineRule="auto"/>
        <w:tabs>
          <w:tab w:leader="none" w:pos="153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20" w:hanging="398"/>
        <w:spacing w:after="0" w:line="28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36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Amar Maletira, Chief Executive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2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Amar Maletira</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w:t>
            </w:r>
          </w:p>
        </w:tc>
      </w:tr>
    </w:tbl>
    <w:p>
      <w:pPr>
        <w:sectPr>
          <w:pgSz w:w="11900" w:h="16838" w:orient="portrait"/>
          <w:cols w:equalWidth="0" w:num="1">
            <w:col w:w="11240"/>
          </w:cols>
          <w:pgMar w:left="320" w:top="36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 Mark Marino, Chief Financial Officer of Rackspace Technology, Inc. (the “Company”), certify pursuant to Section 906 of the Sarbanes-Oxley Act of 2002, 18 U.S.C. Section 1350, that:</w:t>
      </w:r>
    </w:p>
    <w:p>
      <w:pPr>
        <w:spacing w:after="0" w:line="189" w:lineRule="exact"/>
        <w:rPr>
          <w:sz w:val="20"/>
          <w:szCs w:val="20"/>
          <w:color w:val="auto"/>
        </w:rPr>
      </w:pPr>
    </w:p>
    <w:p>
      <w:pPr>
        <w:ind w:left="660" w:right="20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Rackspace Technology, Inc.</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11, 2025</w:t>
            </w:r>
          </w:p>
        </w:tc>
        <w:tc>
          <w:tcPr>
            <w:tcW w:w="21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Mark Marino</w:t>
            </w:r>
          </w:p>
        </w:tc>
      </w:tr>
      <w:tr>
        <w:trPr>
          <w:trHeight w:val="218"/>
        </w:trPr>
        <w:tc>
          <w:tcPr>
            <w:tcW w:w="1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 Marino</w:t>
            </w:r>
          </w:p>
        </w:tc>
      </w:tr>
      <w:tr>
        <w:trPr>
          <w:trHeight w:val="234"/>
        </w:trPr>
        <w:tc>
          <w:tcPr>
            <w:tcW w:w="11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740"/>
    </w:lvl>
    <w:lvl w:ilvl="1">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lvl w:ilvl="1">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
      <w:numFmt w:val="bullet"/>
      <w:start w:val="1"/>
    </w:lvl>
  </w:abstractNum>
  <w:abstractNum w:abstractNumId="10">
    <w:nsid w:val="3F2DBA31"/>
    <w:multiLevelType w:val="hybridMultilevel"/>
    <w:lvl w:ilvl="0">
      <w:lvlJc w:val="left"/>
      <w:lvlText w:val="(%1)"/>
      <w:numFmt w:val="decimal"/>
      <w:start w:val="1"/>
    </w:lvl>
    <w:lvl w:ilvl="1">
      <w:lvlJc w:val="left"/>
      <w:lvlText w:val="-"/>
      <w:numFmt w:val="bullet"/>
      <w:start w:val="1"/>
    </w:lvl>
  </w:abstractNum>
  <w:abstractNum w:abstractNumId="11">
    <w:nsid w:val="7C83E458"/>
    <w:multiLevelType w:val="hybridMultilevel"/>
    <w:lvl w:ilvl="0">
      <w:lvlJc w:val="left"/>
      <w:lvlText w:val="(%1)"/>
      <w:numFmt w:val="lowerLetter"/>
      <w:start w:val="1"/>
    </w:lvl>
    <w:lvl w:ilvl="1">
      <w:lvlJc w:val="left"/>
      <w:lvlText w:val="-"/>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lvl w:ilvl="1">
      <w:lvlJc w:val="left"/>
      <w:lvlText w:val="-"/>
      <w:numFmt w:val="bullet"/>
      <w:start w:val="1"/>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Letter"/>
      <w:start w:val="1"/>
    </w:lvl>
    <w:lvl w:ilvl="1">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2025-08-11T15:32:37Z</dcterms:created>
  <dcterms:modified xsi:type="dcterms:W3CDTF">2025-08-11T15:32:37Z</dcterms:modified>
</cp:coreProperties>
</file>